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F6D8C">
      <w:pPr>
        <w:spacing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44843F1F">
      <w:pPr>
        <w:spacing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к единому дню информирования:</w:t>
      </w:r>
    </w:p>
    <w:p w14:paraId="16933FD9">
      <w:pPr>
        <w:ind w:firstLine="709"/>
        <w:jc w:val="both"/>
        <w:rPr>
          <w:bCs/>
          <w:sz w:val="30"/>
          <w:szCs w:val="30"/>
        </w:rPr>
      </w:pPr>
    </w:p>
    <w:p w14:paraId="5D8D0DCA">
      <w:pPr>
        <w:spacing w:after="60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«Тренды и новые направления развития</w:t>
      </w:r>
      <w:r>
        <w:rPr>
          <w:rFonts w:eastAsia="Calibri"/>
          <w:b/>
          <w:sz w:val="30"/>
          <w:szCs w:val="30"/>
        </w:rPr>
        <w:br w:type="textWrapping"/>
      </w:r>
      <w:r>
        <w:rPr>
          <w:rFonts w:eastAsia="Calibri"/>
          <w:b/>
          <w:sz w:val="30"/>
          <w:szCs w:val="30"/>
        </w:rPr>
        <w:t>туризма в Беларуси»</w:t>
      </w:r>
    </w:p>
    <w:p w14:paraId="2A4F3008">
      <w:pPr>
        <w:spacing w:line="280" w:lineRule="exact"/>
        <w:ind w:firstLine="708"/>
        <w:jc w:val="center"/>
        <w:rPr>
          <w:b/>
          <w:bCs/>
          <w:sz w:val="30"/>
          <w:szCs w:val="30"/>
        </w:rPr>
      </w:pPr>
    </w:p>
    <w:p w14:paraId="59BFE1B9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Сегодня туризм рассматривается как стратегически важный сектор экономики. По данным Белстата, прямой вклад туризма в ВВП страны составляет порядка 2% </w:t>
      </w:r>
      <w:r>
        <w:rPr>
          <w:i/>
          <w:sz w:val="32"/>
          <w:szCs w:val="32"/>
        </w:rPr>
        <w:t>(для сравнения в 2020 году – 1,4%)</w:t>
      </w:r>
      <w:r>
        <w:rPr>
          <w:sz w:val="32"/>
          <w:szCs w:val="32"/>
        </w:rPr>
        <w:t xml:space="preserve">. Задача на предстоящее пятилетие в соответствии с Программой социально-экономического развития Республики Беларусь на 2026–2030 гг. – увеличить вклад туризма в экономику минимум в два раза </w:t>
      </w:r>
      <w:r>
        <w:rPr>
          <w:i/>
          <w:sz w:val="32"/>
          <w:szCs w:val="32"/>
        </w:rPr>
        <w:t>(до 4,5%)</w:t>
      </w:r>
      <w:r>
        <w:rPr>
          <w:sz w:val="32"/>
          <w:szCs w:val="32"/>
        </w:rPr>
        <w:t xml:space="preserve">. Национальной стратегией устойчивого развития республики до 2040 года предусмотрено увеличение до 5%. Рост доли туризма в ВВП свидетельствует о положительной динамике развития </w:t>
      </w:r>
      <w:r>
        <w:rPr>
          <w:bCs/>
          <w:sz w:val="32"/>
          <w:szCs w:val="32"/>
        </w:rPr>
        <w:t>туристической сферы</w:t>
      </w:r>
      <w:r>
        <w:rPr>
          <w:sz w:val="32"/>
          <w:szCs w:val="32"/>
        </w:rPr>
        <w:t>.</w:t>
      </w:r>
    </w:p>
    <w:p w14:paraId="0D51FDC4">
      <w:pPr>
        <w:ind w:firstLine="709"/>
        <w:jc w:val="both"/>
        <w:rPr>
          <w:i/>
          <w:sz w:val="32"/>
          <w:szCs w:val="32"/>
          <w:lang w:bidi="ru-RU"/>
        </w:rPr>
      </w:pPr>
      <w:r>
        <w:rPr>
          <w:sz w:val="32"/>
          <w:szCs w:val="32"/>
        </w:rPr>
        <w:t xml:space="preserve">Развитие туристической сферы города Бобруйска осуществляется в соответствии с </w:t>
      </w:r>
      <w:r>
        <w:rPr>
          <w:sz w:val="32"/>
          <w:szCs w:val="32"/>
          <w:lang w:bidi="ru-RU"/>
        </w:rPr>
        <w:t xml:space="preserve">Национальной стратегией </w:t>
      </w:r>
      <w:r>
        <w:rPr>
          <w:spacing w:val="-10"/>
          <w:sz w:val="32"/>
          <w:szCs w:val="32"/>
          <w:lang w:bidi="ru-RU"/>
        </w:rPr>
        <w:t xml:space="preserve">развития туризма в Республике Беларусь до 2035 года </w:t>
      </w:r>
      <w:r>
        <w:rPr>
          <w:i/>
          <w:spacing w:val="-10"/>
          <w:sz w:val="32"/>
          <w:szCs w:val="32"/>
          <w:lang w:bidi="ru-RU"/>
        </w:rPr>
        <w:t>(утверждена Постановлением коллегии Министерства спорта и туризма Республики Беларусь от 03.06.2025 № 20)</w:t>
      </w:r>
      <w:r>
        <w:rPr>
          <w:spacing w:val="-10"/>
          <w:sz w:val="32"/>
          <w:szCs w:val="32"/>
          <w:lang w:bidi="ru-RU"/>
        </w:rPr>
        <w:t>,</w:t>
      </w:r>
      <w:r>
        <w:rPr>
          <w:sz w:val="32"/>
          <w:szCs w:val="32"/>
          <w:lang w:bidi="ru-RU"/>
        </w:rPr>
        <w:t xml:space="preserve"> Государственной программой «Туризм» на 2026-2030 годы </w:t>
      </w:r>
      <w:r>
        <w:rPr>
          <w:i/>
          <w:sz w:val="32"/>
          <w:szCs w:val="32"/>
          <w:lang w:bidi="ru-RU"/>
        </w:rPr>
        <w:t xml:space="preserve">(утверждена Постановлением Совета Министров Республики Беларусь от 30 декабря 2025 г. № 797), </w:t>
      </w:r>
      <w:r>
        <w:rPr>
          <w:sz w:val="32"/>
          <w:szCs w:val="32"/>
          <w:lang w:bidi="ru-RU"/>
        </w:rPr>
        <w:t>Программой развития туризма в Могилевской области на 2026–2030 годы «Приднепровская жемчужина» (</w:t>
      </w:r>
      <w:r>
        <w:rPr>
          <w:i/>
          <w:sz w:val="32"/>
          <w:szCs w:val="32"/>
          <w:lang w:bidi="ru-RU"/>
        </w:rPr>
        <w:t>утверждена решением Могилевского областного исполнительного комитета от 20 ноября 2025 г. № 50-8)</w:t>
      </w:r>
      <w:r>
        <w:rPr>
          <w:sz w:val="32"/>
          <w:szCs w:val="32"/>
          <w:lang w:bidi="ru-RU"/>
        </w:rPr>
        <w:t>, региональным комплексом мероприятий по реализации в городе Бобруйске Государственной программы «Туризм» на 2026–2030 годы (</w:t>
      </w:r>
      <w:r>
        <w:rPr>
          <w:i/>
          <w:sz w:val="32"/>
          <w:szCs w:val="32"/>
          <w:lang w:bidi="ru-RU"/>
        </w:rPr>
        <w:t>утвержден решением Бобруйского городского Совета Депутатов от 25 февраля 2026 г. № 18-23).</w:t>
      </w:r>
    </w:p>
    <w:p w14:paraId="4955C329">
      <w:pPr>
        <w:ind w:firstLine="709"/>
        <w:jc w:val="both"/>
        <w:rPr>
          <w:sz w:val="32"/>
          <w:szCs w:val="32"/>
          <w:lang w:bidi="ru-RU"/>
        </w:rPr>
      </w:pPr>
    </w:p>
    <w:p w14:paraId="2D3B18BF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  <w:lang w:bidi="ru-RU"/>
        </w:rPr>
        <w:t xml:space="preserve">Особое внимание в Беларуси уделяется созданию </w:t>
      </w:r>
      <w:r>
        <w:rPr>
          <w:b/>
          <w:sz w:val="32"/>
          <w:szCs w:val="32"/>
          <w:lang w:bidi="ru-RU"/>
        </w:rPr>
        <w:t>разнообразной и качественной туристической инфраструктуры</w:t>
      </w:r>
      <w:r>
        <w:rPr>
          <w:sz w:val="32"/>
          <w:szCs w:val="32"/>
          <w:lang w:bidi="ru-RU"/>
        </w:rPr>
        <w:t>, удовлетворяющей потребностям потенциальных туристов и экскурсантов.</w:t>
      </w:r>
    </w:p>
    <w:p w14:paraId="32A3D48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настоящее время туристическая индустрия города представлена следующим образом:</w:t>
      </w:r>
    </w:p>
    <w:p w14:paraId="0B2669D8">
      <w:pPr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19</w:t>
      </w:r>
      <w:r>
        <w:rPr>
          <w:sz w:val="32"/>
          <w:szCs w:val="32"/>
        </w:rPr>
        <w:t xml:space="preserve"> организаций, осуществляющих туристическую деятельность на территории города, в их числе 5 туроператоров и 14 турагентов;</w:t>
      </w:r>
    </w:p>
    <w:p w14:paraId="7ACFDD84">
      <w:pPr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9 единиц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коллективных средств размещения</w:t>
      </w:r>
      <w:r>
        <w:rPr>
          <w:sz w:val="32"/>
          <w:szCs w:val="32"/>
        </w:rPr>
        <w:t xml:space="preserve">, в их числе: </w:t>
      </w:r>
    </w:p>
    <w:p w14:paraId="4848D265">
      <w:pPr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7 гостиниц и аналогичных средств размещения </w:t>
      </w:r>
      <w:r>
        <w:rPr>
          <w:sz w:val="32"/>
          <w:szCs w:val="32"/>
        </w:rPr>
        <w:t>(</w:t>
      </w:r>
      <w:r>
        <w:rPr>
          <w:i/>
          <w:sz w:val="32"/>
          <w:szCs w:val="32"/>
        </w:rPr>
        <w:t>3  гостиницы, 1 гостиничный комплекс, 1 гостиный дом, 1 гостевой дом, 1 гостинично-развлекательный комплекс</w:t>
      </w:r>
      <w:r>
        <w:rPr>
          <w:sz w:val="32"/>
          <w:szCs w:val="32"/>
        </w:rPr>
        <w:t xml:space="preserve">) </w:t>
      </w:r>
      <w:r>
        <w:rPr>
          <w:b/>
          <w:sz w:val="32"/>
          <w:szCs w:val="32"/>
        </w:rPr>
        <w:t>общей вместимостью 720 койко-мест</w:t>
      </w:r>
      <w:r>
        <w:rPr>
          <w:sz w:val="32"/>
          <w:szCs w:val="32"/>
        </w:rPr>
        <w:t>,</w:t>
      </w:r>
    </w:p>
    <w:p w14:paraId="1BBDC5A7">
      <w:pPr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3 санаторно-оздоровительных организации</w:t>
      </w:r>
      <w:r>
        <w:rPr>
          <w:sz w:val="32"/>
          <w:szCs w:val="32"/>
        </w:rPr>
        <w:t xml:space="preserve"> общей вместимостью </w:t>
      </w:r>
      <w:r>
        <w:rPr>
          <w:b/>
          <w:sz w:val="32"/>
          <w:szCs w:val="32"/>
        </w:rPr>
        <w:t>740</w:t>
      </w:r>
      <w:r>
        <w:rPr>
          <w:sz w:val="32"/>
          <w:szCs w:val="32"/>
        </w:rPr>
        <w:t xml:space="preserve"> койко-мест.</w:t>
      </w:r>
    </w:p>
    <w:p w14:paraId="69DB337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Численность лиц, размещенных </w:t>
      </w:r>
      <w:r>
        <w:rPr>
          <w:iCs/>
          <w:sz w:val="32"/>
          <w:szCs w:val="32"/>
        </w:rPr>
        <w:t xml:space="preserve">в коллективных средствах размещения по итогам 2025 года составила </w:t>
      </w:r>
      <w:r>
        <w:rPr>
          <w:sz w:val="32"/>
          <w:szCs w:val="32"/>
        </w:rPr>
        <w:t>44100 человек или 207,6 % к уровню 2020 года.</w:t>
      </w:r>
    </w:p>
    <w:p w14:paraId="0FC575D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Экспорт туристических услуг за 2025 год составил 2329,7 тыс. долл. США, темп роста к аналогичному периоду прошлого года составил </w:t>
      </w:r>
      <w:r>
        <w:rPr>
          <w:bCs/>
          <w:sz w:val="32"/>
          <w:szCs w:val="32"/>
        </w:rPr>
        <w:t>129,0</w:t>
      </w:r>
      <w:r>
        <w:rPr>
          <w:sz w:val="32"/>
          <w:szCs w:val="32"/>
        </w:rPr>
        <w:t xml:space="preserve"> %. </w:t>
      </w:r>
    </w:p>
    <w:p w14:paraId="0507B8C9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Основными поставщиками экспорта туристических услуг стали туристы из Российской Федерации удельный вес 93,9 %, удельный вес граждан из других стран составил 6,1%. </w:t>
      </w:r>
    </w:p>
    <w:p w14:paraId="5AF32263">
      <w:pPr>
        <w:tabs>
          <w:tab w:val="left" w:pos="709"/>
        </w:tabs>
        <w:ind w:firstLine="709"/>
        <w:jc w:val="both"/>
        <w:rPr>
          <w:rFonts w:eastAsiaTheme="minorHAnsi"/>
          <w:i/>
          <w:sz w:val="32"/>
          <w:szCs w:val="32"/>
          <w:lang w:eastAsia="en-US"/>
        </w:rPr>
      </w:pPr>
      <w:r>
        <w:rPr>
          <w:sz w:val="32"/>
          <w:szCs w:val="32"/>
        </w:rPr>
        <w:t xml:space="preserve">Санаторно-оздоровительными организациями и гостиницами города заключено 29 договоров с туроператорами Российской Федерации </w:t>
      </w:r>
      <w:r>
        <w:rPr>
          <w:i/>
          <w:sz w:val="32"/>
          <w:szCs w:val="32"/>
        </w:rPr>
        <w:t>(</w:t>
      </w:r>
      <w:r>
        <w:rPr>
          <w:rFonts w:eastAsiaTheme="minorHAnsi"/>
          <w:i/>
          <w:sz w:val="32"/>
          <w:szCs w:val="32"/>
          <w:lang w:eastAsia="en-US"/>
        </w:rPr>
        <w:t>ООО «Мультитур.ру», ООО «Алеан-турне», ООО «Атлантис Туризм», ООО «Дельфин-Вояж» (г. Москва), ООО «Фортуна» г. Санкт-Петербург, ООО «Проф Паблисити»                                (г. Новороссийск) и другие).</w:t>
      </w:r>
    </w:p>
    <w:p w14:paraId="110075E9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постоянной основе ведется работа по поиску альтернативных рынков сбыта, новых посредников реализации туристических услуг. </w:t>
      </w:r>
    </w:p>
    <w:p w14:paraId="3F1C59A1">
      <w:pPr>
        <w:tabs>
          <w:tab w:val="left" w:pos="709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Внедрены дисконтные программы для спортивных команд, разработаны туры выходного дня, корпоративные туры, внедрены системы скидок и горящих предложений. </w:t>
      </w:r>
    </w:p>
    <w:p w14:paraId="33CFC84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 высоком интересе белорусских граждан к путешествиям в пределах страны свидетельствуют результаты социологического исследования, проведенного в 2025 год</w:t>
      </w:r>
      <w:r>
        <w:rPr>
          <w:sz w:val="32"/>
          <w:szCs w:val="32"/>
          <w:lang w:val="be-BY"/>
        </w:rPr>
        <w:t>у</w:t>
      </w:r>
      <w:r>
        <w:rPr>
          <w:sz w:val="32"/>
          <w:szCs w:val="32"/>
        </w:rPr>
        <w:t xml:space="preserve"> Институтом социологии НАН Беларуси. Так, </w:t>
      </w:r>
      <w:r>
        <w:rPr>
          <w:b/>
          <w:sz w:val="32"/>
          <w:szCs w:val="32"/>
        </w:rPr>
        <w:t>подавляющее большинство граждан</w:t>
      </w:r>
      <w:r>
        <w:rPr>
          <w:sz w:val="32"/>
          <w:szCs w:val="32"/>
        </w:rPr>
        <w:t xml:space="preserve"> (87,1%) </w:t>
      </w:r>
      <w:r>
        <w:rPr>
          <w:b/>
          <w:sz w:val="32"/>
          <w:szCs w:val="32"/>
        </w:rPr>
        <w:t>рассматривает Беларусь в качестве места для своего отдыха</w:t>
      </w:r>
      <w:r>
        <w:rPr>
          <w:sz w:val="32"/>
          <w:szCs w:val="32"/>
        </w:rPr>
        <w:t xml:space="preserve">. </w:t>
      </w:r>
    </w:p>
    <w:p w14:paraId="59835912">
      <w:pPr>
        <w:ind w:firstLine="709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При этом посещение исторических и культурных мест в качестве туристической цели привлекает 45,7% опрошенных. Респонденты также отдают предпочтение таким природным объектам, как заповедники, леса, озера (34,8%). Каждый пятый путешествует с целью посещения мероприятий, фестивалей, выставок (20,2%). Лечение и оздоровление интересует 16,4% белорусских граждан. Поездки к местам религиозных святынь выбирают 12,0% ответивших.</w:t>
      </w:r>
    </w:p>
    <w:p w14:paraId="0ADDBF2F">
      <w:pPr>
        <w:ind w:firstLine="709"/>
        <w:jc w:val="both"/>
        <w:rPr>
          <w:sz w:val="32"/>
          <w:szCs w:val="32"/>
        </w:rPr>
      </w:pPr>
      <w:r>
        <w:rPr>
          <w:iCs/>
          <w:sz w:val="32"/>
          <w:szCs w:val="32"/>
        </w:rPr>
        <w:t xml:space="preserve">В целях продвижения внутреннего туризма, увеличения объемов оказываемых услуг представителями туристической индустрии города заключено 37 договоров с туроператорами страны, </w:t>
      </w:r>
      <w:r>
        <w:rPr>
          <w:sz w:val="32"/>
          <w:szCs w:val="32"/>
        </w:rPr>
        <w:t xml:space="preserve">предлагаются поездки и экскурсии по 65 основным туристическим маршрутам Республики Беларусь, которые пролегают также через Могилевскую область и город Бобруйск. </w:t>
      </w:r>
    </w:p>
    <w:p w14:paraId="1C4F697D">
      <w:pPr>
        <w:ind w:firstLine="709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В настоящее время на территории города осуществляют экскурсионную деятельность по договорам подряда</w:t>
      </w:r>
      <w:r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sz w:val="32"/>
          <w:szCs w:val="32"/>
        </w:rPr>
        <w:t>23 аттестованных экскурсовода.</w:t>
      </w:r>
    </w:p>
    <w:p w14:paraId="1DB0B630">
      <w:pPr>
        <w:ind w:firstLine="709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t xml:space="preserve">Разработано 15 туристических экскурсионных маршрутов по городу, которые регулярно актуализируются и обновляются </w:t>
      </w:r>
      <w:r>
        <w:rPr>
          <w:rFonts w:eastAsia="Calibri"/>
          <w:i/>
          <w:iCs/>
          <w:sz w:val="32"/>
          <w:szCs w:val="32"/>
        </w:rPr>
        <w:t>(</w:t>
      </w:r>
      <w:r>
        <w:rPr>
          <w:i/>
          <w:iCs/>
          <w:sz w:val="32"/>
          <w:szCs w:val="32"/>
        </w:rPr>
        <w:t>5 военно-патриотических; 4 религиозных; 3 ностальгических; 2 культурно-познавательных; 1 гастрономический)</w:t>
      </w:r>
      <w:r>
        <w:rPr>
          <w:sz w:val="32"/>
          <w:szCs w:val="32"/>
        </w:rPr>
        <w:t>.</w:t>
      </w:r>
    </w:p>
    <w:p w14:paraId="394B8BF9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Быстрыми темпами в последние годы развивается </w:t>
      </w:r>
      <w:r>
        <w:rPr>
          <w:b/>
          <w:sz w:val="32"/>
          <w:szCs w:val="32"/>
        </w:rPr>
        <w:t xml:space="preserve">промышленный туризм. </w:t>
      </w:r>
      <w:r>
        <w:rPr>
          <w:sz w:val="32"/>
          <w:szCs w:val="32"/>
        </w:rPr>
        <w:t xml:space="preserve">Наша страна обладает значительным потенциалом в данной сфере в связи с наличием на ее территории большого количества предприятий различных отраслей. </w:t>
      </w:r>
    </w:p>
    <w:p w14:paraId="74048D8F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Уже сегодня предприятия города активно вовлекаются в данное направление. Такие предприятия как «Белшина», «Красный пищевик», «ФанДОК», «Оазис Груп» проводят экскурсии по цехам предприятия, ознакомление с производимой продукцией и перспективами развития предприятий.</w:t>
      </w:r>
    </w:p>
    <w:p w14:paraId="12CA642D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Вместе с тем в ознакомительных целях в рамках профориентационной работы проводят экскурсии с учащимися  – «Бобруйский завод тракторных деталей и агрегатов», «Бобруйскагромаш» и Бобруйский филиал «Булочно-кондитерская компания «Домочай».</w:t>
      </w:r>
    </w:p>
    <w:p w14:paraId="531F2C52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Дальнейшее развитие отрасли в ближайшие годы предусмотрено </w:t>
      </w:r>
      <w:r>
        <w:rPr>
          <w:b/>
          <w:sz w:val="32"/>
          <w:szCs w:val="32"/>
        </w:rPr>
        <w:t>Государственной программой «Туризм» на 2026–2030 годы</w:t>
      </w:r>
      <w:r>
        <w:rPr>
          <w:sz w:val="32"/>
          <w:szCs w:val="32"/>
        </w:rPr>
        <w:t xml:space="preserve"> (далее – Госпрограмма), в которой делается акцент на нескольких направлениях: развитии инфраструктуры, повышении качества туристических услуг, поддержке региональных инициатив, продвижении Беларуси за рубежом и расширении туристической географии внутри страны.</w:t>
      </w:r>
    </w:p>
    <w:p w14:paraId="03752254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этой целью в рамках Госпрограммы предусмотрено </w:t>
      </w:r>
      <w:r>
        <w:rPr>
          <w:b/>
          <w:sz w:val="32"/>
          <w:szCs w:val="32"/>
        </w:rPr>
        <w:t>145 инвестиционных проектов</w:t>
      </w:r>
      <w:r>
        <w:rPr>
          <w:sz w:val="32"/>
          <w:szCs w:val="32"/>
        </w:rPr>
        <w:t xml:space="preserve"> с общим финансирование </w:t>
      </w:r>
      <w:r>
        <w:rPr>
          <w:b/>
          <w:sz w:val="32"/>
          <w:szCs w:val="32"/>
        </w:rPr>
        <w:t>более 1,7 млрд рублей</w:t>
      </w:r>
      <w:r>
        <w:rPr>
          <w:sz w:val="32"/>
          <w:szCs w:val="32"/>
        </w:rPr>
        <w:t>, что улучшит туристическую инфраструктуру и сервис для туристов.</w:t>
      </w:r>
    </w:p>
    <w:p w14:paraId="27A5FCDC">
      <w:pPr>
        <w:widowControl w:val="0"/>
        <w:ind w:firstLine="708"/>
        <w:jc w:val="both"/>
        <w:rPr>
          <w:sz w:val="32"/>
          <w:szCs w:val="32"/>
        </w:rPr>
      </w:pPr>
      <w:bookmarkStart w:id="0" w:name="_Hlk229645828"/>
      <w:r>
        <w:rPr>
          <w:sz w:val="32"/>
          <w:szCs w:val="32"/>
        </w:rPr>
        <w:t>Так, Госпрограммой «Туризм» на 2026-2030 годы предусмотрена реконструкция здания водолечебницы с пристройкой помещений бассейна, текущий ремонт номерного фонда, благоустройство территории УП «Санаторий им.В.И.Ленина».</w:t>
      </w:r>
    </w:p>
    <w:bookmarkEnd w:id="0"/>
    <w:p w14:paraId="2B64E82A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 целью активизации частной инициативы по развитию туристической инфраструктуры ОАО «Банк Развития Республики Беларусь» и его партнерами предлагается льготный кредитный продукт «Туристический потенциал». По состоянию на 01.05.2026 в перечень инвестиционных проектов «Туристический потенциал» включено 2 организации г. Бобруйска: ЧТУП «КлиПавто» и                ОАО «Отель «Турист».</w:t>
      </w:r>
    </w:p>
    <w:p w14:paraId="448B86C3">
      <w:pPr>
        <w:spacing w:line="232" w:lineRule="auto"/>
        <w:ind w:firstLine="709"/>
        <w:jc w:val="both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В целом в рамках комплекса мероприятий по развитию туризма в город Бобруйске первоочередное внимание уделяется развитию туристической инфраструктуры. </w:t>
      </w:r>
    </w:p>
    <w:p w14:paraId="5031EA03">
      <w:pPr>
        <w:spacing w:line="232" w:lineRule="auto"/>
        <w:ind w:firstLine="709"/>
        <w:jc w:val="both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Планируются реконструкция здания санатория Санатория им. Ленина для повышения качества лечебно-оздоровительного туризма, модернизация отеля Турист для повышения комфорта размещения гостей, а также строительство современного физкультурно-оздоровительного комплекса по ул. Ульяновской. Кроме того, в стадии проработки находится создание экотропы в микрорайоне Киселевичи, что позволит расширить предложение в сегменте активного и экологического туризма, планируется установка указателей по знаковым объектам вдоль улицы Социалистической и информационных </w:t>
      </w:r>
      <w:r>
        <w:rPr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QR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-кодов на исторических зданиях. </w:t>
      </w:r>
    </w:p>
    <w:p w14:paraId="630D34A4">
      <w:pPr>
        <w:ind w:firstLine="708"/>
        <w:jc w:val="both"/>
        <w:rPr>
          <w:rFonts w:hint="default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В целях сохранения памятника архитектуры «Бобруйская крепость» в 2021-2023 годах поэтапно проводилась разработка проектно-сметной документации для зданий 3 полигона крепости </w:t>
      </w:r>
      <w:r>
        <w:rPr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(горжевой редюит, редюиты левого, правого входящего, исходящего плацдарма, Минские ворота)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и утраченных сооружений </w:t>
      </w:r>
      <w:r>
        <w:rPr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(мост, внешние и внутренние оборонительные валы, сортии, фрагмента эскарповых стен)</w:t>
      </w:r>
      <w:r>
        <w:rPr>
          <w:rFonts w:hint="default"/>
          <w:i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.</w:t>
      </w:r>
    </w:p>
    <w:p w14:paraId="0AE8C1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/>
        <w:jc w:val="both"/>
        <w:textAlignment w:val="auto"/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Справочнго</w:t>
      </w:r>
      <w:r>
        <w:rPr>
          <w:rFonts w:hint="default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: в</w:t>
      </w:r>
      <w:bookmarkStart w:id="1" w:name="_GoBack"/>
      <w:bookmarkEnd w:id="1"/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ноябре 2025 г. сдана в эксплуатацию первая очередь строительства объекта – консервация фортификационных сооружений (редюиты левого и правого входящих плацдармов, руины редюита исходящего плацдарма), воссоздание деревянного моста).</w:t>
      </w:r>
    </w:p>
    <w:p w14:paraId="00E63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/>
        <w:jc w:val="both"/>
        <w:textAlignment w:val="auto"/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Работы по второй очереди строительства включают в себя реконструкцию с реставрацией Минских ворот и горжевого редюита, переходы на мост, прокладку наружных инженерных сетей, благоустройство территории, прилегающей к зданиям Минских ворот и горжевому редюиту, строительство ТП-10/0,4 кВ, КНС, воссоздание  первого этапа моста.</w:t>
      </w:r>
    </w:p>
    <w:p w14:paraId="68D8DB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8"/>
        <w:jc w:val="both"/>
        <w:textAlignment w:val="auto"/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третьей очереди строительства объекта предусмотрена реконструкция с реставрацией правого входящего плацдарма, редюита исходящего плацдарма и музеефикация горжевого редюита с размещением экспозиций «Бобруйская крепость – уникальный комплекс фортификации» и «Советскому солдату, зверски замученному в концлагерях в Могилевской области».</w:t>
      </w:r>
    </w:p>
    <w:p w14:paraId="0B86B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9"/>
        <w:jc w:val="both"/>
        <w:textAlignment w:val="auto"/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рамках 4 очереди запланированы работы по реконструкции с реставрацией левого входящего плацдарма, ворот в горже демилюна (воссоздание), реконструкция моста (2-й этап).</w:t>
      </w:r>
    </w:p>
    <w:p w14:paraId="17DA7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09"/>
        <w:jc w:val="both"/>
        <w:textAlignment w:val="auto"/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 пятой очереди планируется выполнить реконструкцию с реставрацией внешних и внутренних оборонительных валов, благоустройство территории музейного комплекса, воссоздание утраченных сооружений: сортий; фрагмента эскарповых стен; фрагмента валов.</w:t>
      </w:r>
    </w:p>
    <w:p w14:paraId="15E6449B">
      <w:pPr>
        <w:spacing w:line="232" w:lineRule="auto"/>
        <w:ind w:firstLine="709"/>
        <w:jc w:val="both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Уже традиционными стали яркие мероприятия, объединяющие национальные традиции и современное искусство. С 25 по 29 июня 2026 г. планируется проведение международного</w:t>
      </w:r>
      <w:r>
        <w:rPr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фестиваля народного творчества «Венок дружбы».</w:t>
      </w:r>
    </w:p>
    <w:p w14:paraId="0388755E">
      <w:pPr>
        <w:spacing w:line="232" w:lineRule="auto"/>
        <w:ind w:firstLine="709"/>
        <w:jc w:val="both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Реализация перечисленных мероприятий позволит не только модернизировать материально-техническую базу Бобруйска, но и значительно повысить его привлекательность для туристов. Комплексный подход к развитию инфраструктуры и создание новой экотропы заложат основу для устойчивого роста турпотока и позитивного имиджа нашего города.</w:t>
      </w:r>
    </w:p>
    <w:p w14:paraId="2199B9BE">
      <w:pPr>
        <w:rPr>
          <w:sz w:val="32"/>
          <w:szCs w:val="32"/>
        </w:rPr>
      </w:pP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3247884"/>
      <w:docPartObj>
        <w:docPartGallery w:val="AutoText"/>
      </w:docPartObj>
    </w:sdtPr>
    <w:sdtContent>
      <w:p w14:paraId="5F78CEE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4F62BA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37"/>
    <w:rsid w:val="00027286"/>
    <w:rsid w:val="00035D66"/>
    <w:rsid w:val="00063CC8"/>
    <w:rsid w:val="00103959"/>
    <w:rsid w:val="00157A37"/>
    <w:rsid w:val="00192B98"/>
    <w:rsid w:val="001A0C0E"/>
    <w:rsid w:val="002B6F2F"/>
    <w:rsid w:val="003145FE"/>
    <w:rsid w:val="00326519"/>
    <w:rsid w:val="0033055A"/>
    <w:rsid w:val="003439F1"/>
    <w:rsid w:val="003946D8"/>
    <w:rsid w:val="00410114"/>
    <w:rsid w:val="005508AB"/>
    <w:rsid w:val="005D71AE"/>
    <w:rsid w:val="005E092B"/>
    <w:rsid w:val="0065199C"/>
    <w:rsid w:val="00653108"/>
    <w:rsid w:val="007317E0"/>
    <w:rsid w:val="00736867"/>
    <w:rsid w:val="0076110F"/>
    <w:rsid w:val="0078598B"/>
    <w:rsid w:val="007A6D00"/>
    <w:rsid w:val="008C3C37"/>
    <w:rsid w:val="008F77AB"/>
    <w:rsid w:val="00945807"/>
    <w:rsid w:val="009967A6"/>
    <w:rsid w:val="009F56E9"/>
    <w:rsid w:val="00A50716"/>
    <w:rsid w:val="00AE118A"/>
    <w:rsid w:val="00AE3BF1"/>
    <w:rsid w:val="00B577C3"/>
    <w:rsid w:val="00BA1C7E"/>
    <w:rsid w:val="00C462A4"/>
    <w:rsid w:val="00C62DD2"/>
    <w:rsid w:val="00CE679C"/>
    <w:rsid w:val="00D55A19"/>
    <w:rsid w:val="00DA6137"/>
    <w:rsid w:val="00DB40F3"/>
    <w:rsid w:val="00E46F62"/>
    <w:rsid w:val="00E52FE2"/>
    <w:rsid w:val="00E80BFF"/>
    <w:rsid w:val="00E92D6C"/>
    <w:rsid w:val="00F316D8"/>
    <w:rsid w:val="00F57C5B"/>
    <w:rsid w:val="00F67AB9"/>
    <w:rsid w:val="00FA727F"/>
    <w:rsid w:val="0D23109A"/>
    <w:rsid w:val="23C5430A"/>
    <w:rsid w:val="3CF77DF6"/>
    <w:rsid w:val="6EFD73A5"/>
    <w:rsid w:val="78B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2">
    <w:name w:val="Верхний колонтитул Знак"/>
    <w:basedOn w:val="2"/>
    <w:link w:val="7"/>
    <w:uiPriority w:val="99"/>
    <w:rPr>
      <w:rFonts w:eastAsia="Times New Roman"/>
      <w:sz w:val="24"/>
      <w:szCs w:val="24"/>
    </w:rPr>
  </w:style>
  <w:style w:type="character" w:customStyle="1" w:styleId="13">
    <w:name w:val="Нижний колонтитул Знак"/>
    <w:basedOn w:val="2"/>
    <w:link w:val="8"/>
    <w:qFormat/>
    <w:uiPriority w:val="99"/>
    <w:rPr>
      <w:rFonts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FAAF3-6F9C-4D51-9E8C-FC2FB7BA9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5</Pages>
  <Words>1169</Words>
  <Characters>8577</Characters>
  <Lines>69</Lines>
  <Paragraphs>19</Paragraphs>
  <TotalTime>5</TotalTime>
  <ScaleCrop>false</ScaleCrop>
  <LinksUpToDate>false</LinksUpToDate>
  <CharactersWithSpaces>9765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2026-05-18T14:30:00Z</dcterms:created>
  <dc:creator>User</dc:creator>
  <cp:lastModifiedBy>Rudko_AM</cp:lastModifiedBy>
  <cp:lastPrinted>2026-05-19T10:42:00Z</cp:lastPrinted>
  <dcterms:modified xsi:type="dcterms:W3CDTF">2026-05-19T14:59:17Z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eyJoZGlkIjoiYTE3ZjI4NjA2ZjNiOWNhNTA3ODk4MTlmZWQyMDY3ODYifQ==</vt:lpwstr>
  </property>
  <property fmtid="{D5CDD505-2E9C-101B-9397-08002B2CF9AE}" pid="3" name="KSOProductBuildVer">
    <vt:lpwstr>1049-12.1.0.25242</vt:lpwstr>
  </property>
  <property fmtid="{D5CDD505-2E9C-101B-9397-08002B2CF9AE}" pid="4" name="ICV">
    <vt:lpwstr>E7F26F4353064C4DA4748406ED62FD3C_13</vt:lpwstr>
  </property>
</Properties>
</file>