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B8" w:rsidRPr="00A23918" w:rsidRDefault="00C55DB8" w:rsidP="00A2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color w:val="443F3F"/>
          <w:sz w:val="30"/>
          <w:szCs w:val="30"/>
          <w:lang w:eastAsia="ru-RU"/>
        </w:rPr>
        <w:t>Добровольное страхование дополнительной пенсии с финансовой поддержкой государства (программа «три плюс три»)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(Указ Президента Республики Беларусь от 27 сентября 2021 г. № 367 «О добровольном страховании дополнительной накопительной пенсии»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).</w:t>
      </w:r>
      <w:bookmarkStart w:id="0" w:name="_GoBack"/>
      <w:bookmarkEnd w:id="0"/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С 1 октября 2022 г.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вводится дополнительный вид добровольного пенсионного страхования в страховой организации –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добровольное страхование дополнительной накопительной пенсии (программа «три плюс три»)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В чем преимущество нового пенсионного страхования?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Главное отличие новой программы страхования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от других накопительных пенсионных программ страховых организаций –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государственное </w:t>
      </w:r>
      <w:proofErr w:type="spellStart"/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софинансирование</w:t>
      </w:r>
      <w:proofErr w:type="spellEnd"/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Оно заключается в том, что работникам,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которые примут решение участвовать в новой программе 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и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с 1 октября 2022 г. будут уплачивать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из своей заработной платы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дополнительный взнос на будущую накопительную пенсию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,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часть взносов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на эту пенсию будет оплачена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из государственных средств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Тариф накопительного взноса</w:t>
      </w:r>
    </w:p>
    <w:p w:rsidR="00C55DB8" w:rsidRPr="00A23918" w:rsidRDefault="00C55DB8" w:rsidP="00C55D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для работника – от 1 до 10 процентов (включительно) фактического заработка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Дополнительный взнос 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на накопительную пенсию по выбранному тарифу работник уплачивает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наряду с обязательным 1-процентным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взносом в бюджет фонда социальной защиты населения.</w:t>
      </w:r>
    </w:p>
    <w:p w:rsidR="00C55DB8" w:rsidRPr="00A23918" w:rsidRDefault="00C55DB8" w:rsidP="00C55D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для работодателя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–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соразмерно взносу работника, но не более 3 процентных пунктов.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В случае участия работника в новой программе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страхования его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работодатель обязан уплачивать дополнительный взнос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на накопительную пенсию этого работника.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tbl>
      <w:tblPr>
        <w:tblW w:w="6716" w:type="dxa"/>
        <w:tblCellSpacing w:w="0" w:type="dxa"/>
        <w:tblBorders>
          <w:top w:val="single" w:sz="6" w:space="0" w:color="88A4D3"/>
          <w:left w:val="single" w:sz="6" w:space="0" w:color="88A4D3"/>
          <w:bottom w:val="single" w:sz="6" w:space="0" w:color="88A4D3"/>
          <w:right w:val="single" w:sz="6" w:space="0" w:color="88A4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2177"/>
        <w:gridCol w:w="2689"/>
      </w:tblGrid>
      <w:tr w:rsidR="00C55DB8" w:rsidRPr="00A23918" w:rsidTr="00C55DB8">
        <w:trPr>
          <w:tblCellSpacing w:w="0" w:type="dxa"/>
        </w:trPr>
        <w:tc>
          <w:tcPr>
            <w:tcW w:w="1846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b/>
                <w:bCs/>
                <w:color w:val="443F3F"/>
                <w:sz w:val="30"/>
                <w:szCs w:val="30"/>
                <w:lang w:eastAsia="ru-RU"/>
              </w:rPr>
              <w:t>Работник</w:t>
            </w:r>
          </w:p>
        </w:tc>
        <w:tc>
          <w:tcPr>
            <w:tcW w:w="2173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b/>
                <w:bCs/>
                <w:color w:val="443F3F"/>
                <w:sz w:val="30"/>
                <w:szCs w:val="30"/>
                <w:lang w:eastAsia="ru-RU"/>
              </w:rPr>
              <w:t>Работодатель</w:t>
            </w:r>
          </w:p>
        </w:tc>
        <w:tc>
          <w:tcPr>
            <w:tcW w:w="2684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b/>
                <w:bCs/>
                <w:color w:val="443F3F"/>
                <w:sz w:val="30"/>
                <w:szCs w:val="30"/>
                <w:lang w:eastAsia="ru-RU"/>
              </w:rPr>
              <w:t>Итого:</w:t>
            </w:r>
          </w:p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b/>
                <w:bCs/>
                <w:color w:val="443F3F"/>
                <w:sz w:val="30"/>
                <w:szCs w:val="30"/>
                <w:lang w:eastAsia="ru-RU"/>
              </w:rPr>
              <w:lastRenderedPageBreak/>
              <w:t>общий тариф взноса на накопительную пенсию</w:t>
            </w:r>
          </w:p>
        </w:tc>
      </w:tr>
      <w:tr w:rsidR="00C55DB8" w:rsidRPr="00A23918" w:rsidTr="00C55DB8">
        <w:trPr>
          <w:tblCellSpacing w:w="0" w:type="dxa"/>
        </w:trPr>
        <w:tc>
          <w:tcPr>
            <w:tcW w:w="1846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lastRenderedPageBreak/>
              <w:t>1%</w:t>
            </w:r>
          </w:p>
        </w:tc>
        <w:tc>
          <w:tcPr>
            <w:tcW w:w="2173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1%</w:t>
            </w:r>
          </w:p>
        </w:tc>
        <w:tc>
          <w:tcPr>
            <w:tcW w:w="2684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2%</w:t>
            </w:r>
          </w:p>
        </w:tc>
      </w:tr>
      <w:tr w:rsidR="00C55DB8" w:rsidRPr="00A23918" w:rsidTr="00C55DB8">
        <w:trPr>
          <w:tblCellSpacing w:w="0" w:type="dxa"/>
        </w:trPr>
        <w:tc>
          <w:tcPr>
            <w:tcW w:w="1846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2%</w:t>
            </w:r>
          </w:p>
        </w:tc>
        <w:tc>
          <w:tcPr>
            <w:tcW w:w="2173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2%</w:t>
            </w:r>
          </w:p>
        </w:tc>
        <w:tc>
          <w:tcPr>
            <w:tcW w:w="2684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4%</w:t>
            </w:r>
          </w:p>
        </w:tc>
      </w:tr>
      <w:tr w:rsidR="00C55DB8" w:rsidRPr="00A23918" w:rsidTr="00C55DB8">
        <w:trPr>
          <w:tblCellSpacing w:w="0" w:type="dxa"/>
        </w:trPr>
        <w:tc>
          <w:tcPr>
            <w:tcW w:w="1846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2173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2684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6%</w:t>
            </w:r>
          </w:p>
        </w:tc>
      </w:tr>
      <w:tr w:rsidR="00C55DB8" w:rsidRPr="00A23918" w:rsidTr="00C55DB8">
        <w:trPr>
          <w:tblCellSpacing w:w="0" w:type="dxa"/>
        </w:trPr>
        <w:tc>
          <w:tcPr>
            <w:tcW w:w="1846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4%</w:t>
            </w:r>
          </w:p>
        </w:tc>
        <w:tc>
          <w:tcPr>
            <w:tcW w:w="2173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2684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7%</w:t>
            </w:r>
          </w:p>
        </w:tc>
      </w:tr>
      <w:tr w:rsidR="00C55DB8" w:rsidRPr="00A23918" w:rsidTr="00C55DB8">
        <w:trPr>
          <w:tblCellSpacing w:w="0" w:type="dxa"/>
        </w:trPr>
        <w:tc>
          <w:tcPr>
            <w:tcW w:w="1846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5%</w:t>
            </w:r>
          </w:p>
        </w:tc>
        <w:tc>
          <w:tcPr>
            <w:tcW w:w="2173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2684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8%</w:t>
            </w:r>
          </w:p>
        </w:tc>
      </w:tr>
      <w:tr w:rsidR="00C55DB8" w:rsidRPr="00A23918" w:rsidTr="00C55DB8">
        <w:trPr>
          <w:tblCellSpacing w:w="0" w:type="dxa"/>
        </w:trPr>
        <w:tc>
          <w:tcPr>
            <w:tcW w:w="1846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…</w:t>
            </w:r>
          </w:p>
        </w:tc>
        <w:tc>
          <w:tcPr>
            <w:tcW w:w="2173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2684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…</w:t>
            </w:r>
          </w:p>
        </w:tc>
      </w:tr>
      <w:tr w:rsidR="00C55DB8" w:rsidRPr="00A23918" w:rsidTr="00C55DB8">
        <w:trPr>
          <w:tblCellSpacing w:w="0" w:type="dxa"/>
        </w:trPr>
        <w:tc>
          <w:tcPr>
            <w:tcW w:w="1846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10%</w:t>
            </w:r>
          </w:p>
        </w:tc>
        <w:tc>
          <w:tcPr>
            <w:tcW w:w="2173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2684" w:type="dxa"/>
            <w:tcBorders>
              <w:top w:val="single" w:sz="6" w:space="0" w:color="88A4D3"/>
              <w:left w:val="single" w:sz="6" w:space="0" w:color="88A4D3"/>
              <w:bottom w:val="single" w:sz="6" w:space="0" w:color="88A4D3"/>
              <w:right w:val="single" w:sz="6" w:space="0" w:color="88A4D3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5DB8" w:rsidRPr="00A23918" w:rsidRDefault="00C55DB8" w:rsidP="00C55D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</w:pPr>
            <w:r w:rsidRPr="00A23918">
              <w:rPr>
                <w:rFonts w:ascii="Times New Roman" w:eastAsia="Times New Roman" w:hAnsi="Times New Roman" w:cs="Times New Roman"/>
                <w:color w:val="443F3F"/>
                <w:sz w:val="30"/>
                <w:szCs w:val="30"/>
                <w:lang w:eastAsia="ru-RU"/>
              </w:rPr>
              <w:t>13%</w:t>
            </w:r>
          </w:p>
        </w:tc>
      </w:tr>
    </w:tbl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При этом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общий взнос работодателя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на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социальное (пенсионное) страхование не увеличится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. Для него будет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соразмерно уменьшен тариф обязательного 28-процентного страхового взноса на пенсионное страхование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в бюджет фонда соцзащиты.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Передача части взноса работодателя (до 3 процентов) в пенсионные накопления работнику – это выпадающие доходы бюджета фонда соцзащиты. Поэтому государство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принимает на себя обязательства по сохранению доходов бюджета фонда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для обеспечения выплаты текущих пенсий в рамках солидарной пенсионной системы.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В этом и состоит механизм государственного </w:t>
      </w:r>
      <w:proofErr w:type="spellStart"/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софинансирования</w:t>
      </w:r>
      <w:proofErr w:type="spellEnd"/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новой программы добровольного страхования дополнительной накопительной пенсии по Указу № 367.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Кто может участвовать в программе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lastRenderedPageBreak/>
        <w:t>Право участвовать в новом страховании предоставляется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работникам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</w:t>
      </w:r>
      <w:r w:rsidRPr="00A23918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(гражданам, работающим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собственности)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, за которых их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работодателями уплачиваются обязательные взносы в бюджет фонда соцзащиты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Вступать в новую программу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страхования можно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не позднее, чем за три года до достижения общеустановленного пенсионного возраста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Порядок вступления в новую программу и участие в ней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Добровольное страхование дополнительной накопительной пенсии по Указу № 367 будет осуществляться республиканским унитарным страховым предприятием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«</w:t>
      </w:r>
      <w:proofErr w:type="spellStart"/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Стравита</w:t>
      </w:r>
      <w:proofErr w:type="spellEnd"/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»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(страховщик).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Работники, желающие формировать дополнительную накопительную пенсию, смогут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с 1 октября 2022 г.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подавать заявление и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заключать договор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непосредственно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у страховщика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или в электронном виде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через официальный сайт страховщика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Дополнительные взносы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на накопительную пенсию в РУСП «</w:t>
      </w:r>
      <w:proofErr w:type="spellStart"/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Стравита</w:t>
      </w:r>
      <w:proofErr w:type="spellEnd"/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» будут ежемесячно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перечисляться работодателем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u w:val="single"/>
          <w:lang w:eastAsia="ru-RU"/>
        </w:rPr>
        <w:t>по заявлению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работника.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Работник вправе менять тариф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взноса на накопительную пенсию, но не чаще 1 раза в год. Также можно в любой момент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приостановить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свое участие в программе и затем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возобновить 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уплату дополнительных взносов.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При достижении общеустановленного пенсионного возраста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страховщиком работнику ежемесячно будет выплачиваться дополнительная накопительная пенсия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в течение 5 или 10 лет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(по выбору гражданина).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Размер будущей накопительной пенсии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Размер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накопительной пенсии будет исчисляться из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сумм дополнительных взносов с учетом доходов от их инвестирования 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(по принципу – сколько накопил, столько и получил).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lastRenderedPageBreak/>
        <w:t>Детальную информацию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о возможных размерах будущей накопительной пенсии, а также о процедуре участия в добровольном страховании дополнительной накопительной пенсии по Указу № 367 можно получить у страховщика – РУСП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«</w:t>
      </w:r>
      <w:proofErr w:type="spellStart"/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Стравита</w:t>
      </w:r>
      <w:proofErr w:type="spellEnd"/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».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Что дает работнику участие в пенсионном страховании по Указу № 367</w:t>
      </w:r>
    </w:p>
    <w:p w:rsidR="00C55DB8" w:rsidRPr="00A23918" w:rsidRDefault="00C55DB8" w:rsidP="00C55D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доступный и понятный механизм заблаговременного сбережения средств на старость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с финансовой поддержкой государства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. При вступлении работника в программу взносы на его будущую накопительную пенсию на 30-50 процентов будут оплачены из государственных средств</w:t>
      </w:r>
    </w:p>
    <w:p w:rsidR="00C55DB8" w:rsidRPr="00A23918" w:rsidRDefault="00C55DB8" w:rsidP="00C55D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право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 на льготу по подоходному налогу.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Так, работникам предоставляется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право на получение социального налогового вычета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на сумму уплаченных за счет средств работника страховых взносов на будущую накопительную пенсию. Это означает, что размер заработка работника, с которого работодателем исчисляется подоходный налог (13%), будет уменьшен на величину страхового взноса, уплаченного за счет средств работника.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Дополнительные накопительные пенсии 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также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освобождаются от подоходного налога с физических лиц</w:t>
      </w:r>
    </w:p>
    <w:p w:rsidR="00C55DB8" w:rsidRPr="00A23918" w:rsidRDefault="00C55DB8" w:rsidP="00C55D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возможность н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аследования пенсионных накоплений</w:t>
      </w:r>
    </w:p>
    <w:p w:rsidR="00C55DB8" w:rsidRPr="00A23918" w:rsidRDefault="00C55DB8" w:rsidP="00C55D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гарантия сохранности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пенсионных накоплений. Осуществление добровольного страхования дополнительной накопительной пенсии возложено на государственную страховую организацию – РУСП «</w:t>
      </w:r>
      <w:proofErr w:type="spellStart"/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Стравита</w:t>
      </w:r>
      <w:proofErr w:type="spellEnd"/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».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Государство гарантирует страховые выплаты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 по договорам страхования, заключенным этим страховым предприятием.</w:t>
      </w:r>
    </w:p>
    <w:p w:rsidR="00C55DB8" w:rsidRPr="00A23918" w:rsidRDefault="00C55DB8" w:rsidP="00C55D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вступление работника в новую программу никак </w:t>
      </w:r>
      <w:r w:rsidRPr="00A23918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не отразится на его государственной трудовой (солидарной) пенсии</w:t>
      </w: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. Ее размер будет определяться по тем же правилам, что и у работников, не участвующих в добровольном страховании, – исходя из показателей стажа и заработка до обращения за пенсией.</w:t>
      </w:r>
    </w:p>
    <w:p w:rsidR="00C55DB8" w:rsidRPr="00A23918" w:rsidRDefault="00C55DB8" w:rsidP="00C5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Дополнительная информация о добровольном страховании дополнительной накопительной пенсии размещена на сайте </w:t>
      </w:r>
      <w:proofErr w:type="gramStart"/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Фонда социальной защиты населения Министерства труда</w:t>
      </w:r>
      <w:proofErr w:type="gramEnd"/>
      <w:r w:rsidRPr="00A23918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 и социальной защиты.</w:t>
      </w:r>
    </w:p>
    <w:p w:rsidR="00746763" w:rsidRPr="00A23918" w:rsidRDefault="00746763">
      <w:pPr>
        <w:rPr>
          <w:rFonts w:ascii="Times New Roman" w:hAnsi="Times New Roman" w:cs="Times New Roman"/>
          <w:sz w:val="30"/>
          <w:szCs w:val="30"/>
        </w:rPr>
      </w:pPr>
    </w:p>
    <w:sectPr w:rsidR="00746763" w:rsidRPr="00A2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E5B"/>
    <w:multiLevelType w:val="multilevel"/>
    <w:tmpl w:val="9CB4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3434D"/>
    <w:multiLevelType w:val="multilevel"/>
    <w:tmpl w:val="585A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7046E"/>
    <w:multiLevelType w:val="multilevel"/>
    <w:tmpl w:val="4F0E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67B7B"/>
    <w:multiLevelType w:val="multilevel"/>
    <w:tmpl w:val="BD30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B8"/>
    <w:rsid w:val="00746763"/>
    <w:rsid w:val="00A23918"/>
    <w:rsid w:val="00C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603</Words>
  <Characters>5235</Characters>
  <Application>Microsoft Office Word</Application>
  <DocSecurity>0</DocSecurity>
  <Lines>261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2024-11-22T07:50:00Z</dcterms:created>
  <dcterms:modified xsi:type="dcterms:W3CDTF">2024-11-22T07:50:00Z</dcterms:modified>
</cp:coreProperties>
</file>