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4" w:rsidRPr="0060191B" w:rsidRDefault="00732DA4" w:rsidP="00732DA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60191B">
        <w:rPr>
          <w:rStyle w:val="a3"/>
          <w:i/>
          <w:iCs/>
          <w:color w:val="FF0000"/>
          <w:sz w:val="30"/>
          <w:szCs w:val="30"/>
        </w:rPr>
        <w:t>Административная процедура</w:t>
      </w:r>
      <w:r w:rsidRPr="0060191B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 xml:space="preserve"> № 3.17</w:t>
      </w:r>
    </w:p>
    <w:p w:rsidR="00732DA4" w:rsidRPr="00732DA4" w:rsidRDefault="00732DA4" w:rsidP="0060191B">
      <w:pPr>
        <w:pStyle w:val="a4"/>
        <w:spacing w:before="0" w:beforeAutospacing="0" w:after="0" w:afterAutospacing="0"/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732DA4">
        <w:rPr>
          <w:b/>
          <w:i/>
          <w:color w:val="FF0000"/>
          <w:sz w:val="30"/>
          <w:szCs w:val="30"/>
          <w:shd w:val="clear" w:color="auto" w:fill="FFFFFF"/>
        </w:rPr>
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 действующих фронтов, на прифронтовых участках железных и автомобильных дорог</w:t>
      </w:r>
    </w:p>
    <w:p w:rsidR="00732DA4" w:rsidRDefault="00732DA4" w:rsidP="00732DA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:rsidR="00732DA4" w:rsidRPr="00732DA4" w:rsidRDefault="00732DA4" w:rsidP="00732DA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732DA4"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32DA4" w:rsidRPr="00732DA4" w:rsidRDefault="00732DA4" w:rsidP="00732DA4">
      <w:pPr>
        <w:pStyle w:val="table1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2DA4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 w:rsidRPr="00732DA4">
        <w:rPr>
          <w:sz w:val="28"/>
          <w:szCs w:val="28"/>
        </w:rPr>
        <w:t>;</w:t>
      </w:r>
    </w:p>
    <w:p w:rsidR="00732DA4" w:rsidRPr="00732DA4" w:rsidRDefault="00732DA4" w:rsidP="00732DA4">
      <w:pPr>
        <w:pStyle w:val="a5"/>
        <w:numPr>
          <w:ilvl w:val="0"/>
          <w:numId w:val="1"/>
        </w:numPr>
        <w:ind w:right="-187" w:hanging="644"/>
        <w:jc w:val="both"/>
        <w:rPr>
          <w:b/>
          <w:bCs/>
          <w:sz w:val="28"/>
          <w:szCs w:val="28"/>
          <w:u w:val="single"/>
        </w:rPr>
      </w:pPr>
      <w:r w:rsidRPr="00732DA4">
        <w:rPr>
          <w:color w:val="000000"/>
          <w:sz w:val="28"/>
          <w:szCs w:val="28"/>
          <w:shd w:val="clear" w:color="auto" w:fill="FFFFFF"/>
        </w:rPr>
        <w:t>одна фотография заявителя размером 30 х 40 мм</w:t>
      </w:r>
      <w:r w:rsidRPr="00732DA4">
        <w:rPr>
          <w:sz w:val="28"/>
          <w:szCs w:val="28"/>
        </w:rPr>
        <w:t>.</w:t>
      </w:r>
    </w:p>
    <w:p w:rsidR="00732DA4" w:rsidRPr="00732DA4" w:rsidRDefault="00732DA4" w:rsidP="00732DA4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2DA4" w:rsidRPr="00732DA4" w:rsidRDefault="00732DA4" w:rsidP="00732DA4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732DA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Размер платы, взимаемый при осуществлении административной процедуры:</w:t>
      </w:r>
      <w:r w:rsidRPr="0073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A4" w:rsidRPr="00732DA4" w:rsidRDefault="00732DA4" w:rsidP="00732DA4">
      <w:pPr>
        <w:pStyle w:val="a5"/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 w:rsidRPr="00732DA4">
        <w:rPr>
          <w:sz w:val="28"/>
          <w:szCs w:val="28"/>
        </w:rPr>
        <w:t>бесплатно</w:t>
      </w:r>
    </w:p>
    <w:p w:rsidR="00732DA4" w:rsidRPr="00732DA4" w:rsidRDefault="00732DA4" w:rsidP="00732DA4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2DA4" w:rsidRPr="00732DA4" w:rsidRDefault="00732DA4" w:rsidP="00732DA4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Максимальный срок осуществления административной процедуры: </w:t>
      </w:r>
    </w:p>
    <w:p w:rsidR="00732DA4" w:rsidRPr="00732DA4" w:rsidRDefault="00732DA4" w:rsidP="00732DA4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32DA4">
        <w:rPr>
          <w:sz w:val="28"/>
          <w:szCs w:val="28"/>
        </w:rPr>
        <w:t>10 дней со дня обращения.</w:t>
      </w:r>
    </w:p>
    <w:p w:rsidR="00732DA4" w:rsidRPr="00732DA4" w:rsidRDefault="00732DA4" w:rsidP="00732DA4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2DA4" w:rsidRPr="00732DA4" w:rsidRDefault="00732DA4" w:rsidP="00732DA4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732DA4" w:rsidRPr="00732DA4" w:rsidRDefault="00732DA4" w:rsidP="00732DA4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32DA4">
        <w:rPr>
          <w:sz w:val="28"/>
          <w:szCs w:val="28"/>
        </w:rPr>
        <w:t>бессрочно.</w:t>
      </w:r>
    </w:p>
    <w:p w:rsidR="00732DA4" w:rsidRPr="00732DA4" w:rsidRDefault="00732DA4" w:rsidP="00732DA4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32DA4" w:rsidRPr="00732DA4" w:rsidRDefault="00732DA4" w:rsidP="00732DA4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32DA4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732DA4" w:rsidRDefault="00732DA4" w:rsidP="00732DA4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732DA4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 w:rsidR="00A905AE">
        <w:rPr>
          <w:sz w:val="28"/>
          <w:szCs w:val="28"/>
        </w:rPr>
        <w:t>зациями по заявлениям граждан»;</w:t>
      </w:r>
    </w:p>
    <w:p w:rsidR="00A905AE" w:rsidRPr="00A905AE" w:rsidRDefault="00A905AE" w:rsidP="00A905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905AE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732DA4" w:rsidRPr="00732DA4" w:rsidRDefault="00732DA4" w:rsidP="00732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905AE" w:rsidRPr="00A905AE" w:rsidRDefault="00A905AE" w:rsidP="00A905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5AE">
        <w:rPr>
          <w:rFonts w:ascii="Times New Roman" w:hAnsi="Times New Roman" w:cs="Times New Roman"/>
          <w:b/>
          <w:sz w:val="28"/>
          <w:szCs w:val="28"/>
          <w:u w:val="single"/>
        </w:rPr>
        <w:t>Вышестоящий орган</w:t>
      </w:r>
      <w:r w:rsidRPr="00A905A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905AE" w:rsidRPr="00A905AE" w:rsidRDefault="00A905AE" w:rsidP="00A905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AE">
        <w:rPr>
          <w:rFonts w:ascii="Times New Roman" w:hAnsi="Times New Roman" w:cs="Times New Roman"/>
          <w:sz w:val="28"/>
          <w:szCs w:val="28"/>
        </w:rPr>
        <w:t>Могилевский областной исполнительный комитет</w:t>
      </w:r>
    </w:p>
    <w:p w:rsidR="00A905AE" w:rsidRPr="00A905AE" w:rsidRDefault="00A905AE" w:rsidP="00A90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A905AE">
          <w:rPr>
            <w:rFonts w:ascii="Times New Roman" w:hAnsi="Times New Roman" w:cs="Times New Roman"/>
            <w:sz w:val="28"/>
            <w:szCs w:val="28"/>
          </w:rPr>
          <w:t>212030, г</w:t>
        </w:r>
      </w:smartTag>
      <w:proofErr w:type="gramStart"/>
      <w:r w:rsidRPr="00A905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05AE">
        <w:rPr>
          <w:rFonts w:ascii="Times New Roman" w:hAnsi="Times New Roman" w:cs="Times New Roman"/>
          <w:sz w:val="28"/>
          <w:szCs w:val="28"/>
        </w:rPr>
        <w:t>огилев, ул.Первомайская, 71</w:t>
      </w:r>
    </w:p>
    <w:p w:rsidR="00A905AE" w:rsidRPr="00A905AE" w:rsidRDefault="00A905AE" w:rsidP="00A90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905AE">
        <w:rPr>
          <w:rFonts w:ascii="Times New Roman" w:hAnsi="Times New Roman" w:cs="Times New Roman"/>
          <w:sz w:val="28"/>
          <w:szCs w:val="28"/>
        </w:rPr>
        <w:t>режим работы: с 8.00 до 17.00, перерыв с 13.00 до 14.00</w:t>
      </w:r>
    </w:p>
    <w:p w:rsidR="00A905AE" w:rsidRPr="00A905AE" w:rsidRDefault="00A905AE" w:rsidP="00A90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905AE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</w:p>
    <w:p w:rsidR="0060191B" w:rsidRPr="00A905AE" w:rsidRDefault="0060191B" w:rsidP="00A905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0191B" w:rsidRDefault="0060191B" w:rsidP="0060191B">
      <w:pPr>
        <w:pStyle w:val="a6"/>
        <w:ind w:left="4678" w:hanging="4498"/>
        <w:rPr>
          <w:b/>
          <w:color w:val="0000FF"/>
        </w:rPr>
      </w:pPr>
    </w:p>
    <w:p w:rsidR="00732DA4" w:rsidRDefault="00732DA4" w:rsidP="00732DA4"/>
    <w:tbl>
      <w:tblPr>
        <w:tblpPr w:leftFromText="180" w:rightFromText="180" w:vertAnchor="text" w:horzAnchor="margin" w:tblpXSpec="center" w:tblpY="-82"/>
        <w:tblW w:w="11057" w:type="dxa"/>
        <w:tblBorders>
          <w:insideH w:val="single" w:sz="4" w:space="0" w:color="000000"/>
        </w:tblBorders>
        <w:tblLook w:val="04A0"/>
      </w:tblPr>
      <w:tblGrid>
        <w:gridCol w:w="4962"/>
        <w:gridCol w:w="6095"/>
      </w:tblGrid>
      <w:tr w:rsidR="00A905AE" w:rsidRPr="003E79F3" w:rsidTr="00A905AE">
        <w:trPr>
          <w:trHeight w:val="3152"/>
        </w:trPr>
        <w:tc>
          <w:tcPr>
            <w:tcW w:w="4962" w:type="dxa"/>
            <w:hideMark/>
          </w:tcPr>
          <w:p w:rsidR="00A905AE" w:rsidRPr="0060191B" w:rsidRDefault="00A905AE" w:rsidP="00A905AE">
            <w:pPr>
              <w:spacing w:after="0"/>
              <w:ind w:right="-284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28"/>
              </w:rPr>
            </w:pPr>
            <w:r w:rsidRPr="0060191B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28"/>
              </w:rPr>
              <w:lastRenderedPageBreak/>
              <w:t>ОБРАЗЕЦ ЗАЯВЛЕНИЯ</w:t>
            </w:r>
          </w:p>
          <w:p w:rsidR="00A905AE" w:rsidRPr="0060191B" w:rsidRDefault="00A905AE" w:rsidP="00A905AE">
            <w:pPr>
              <w:spacing w:after="0"/>
              <w:ind w:right="-284"/>
              <w:rPr>
                <w:b/>
                <w:sz w:val="32"/>
                <w:szCs w:val="28"/>
              </w:rPr>
            </w:pPr>
            <w:r w:rsidRPr="0060191B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28"/>
              </w:rPr>
              <w:t>3.17</w:t>
            </w:r>
          </w:p>
        </w:tc>
        <w:tc>
          <w:tcPr>
            <w:tcW w:w="6095" w:type="dxa"/>
          </w:tcPr>
          <w:p w:rsidR="00A905AE" w:rsidRDefault="00A905AE" w:rsidP="00A905AE">
            <w:pPr>
              <w:spacing w:after="0"/>
              <w:ind w:left="-107" w:right="-284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исполнительный комитет</w:t>
            </w:r>
          </w:p>
          <w:p w:rsidR="00A905AE" w:rsidRDefault="00A905AE" w:rsidP="00A905AE">
            <w:pPr>
              <w:spacing w:after="0"/>
              <w:ind w:left="-107" w:right="-284" w:hanging="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Иванова Ивана Ивановича         </w:t>
            </w:r>
          </w:p>
          <w:p w:rsidR="00A905AE" w:rsidRPr="0060191B" w:rsidRDefault="00A905AE" w:rsidP="00A905AE">
            <w:pPr>
              <w:spacing w:after="0"/>
              <w:ind w:left="-107" w:right="-28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B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проживающей(го) </w:t>
            </w:r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обруйск   </w:t>
            </w:r>
            <w:r w:rsidRPr="0060191B">
              <w:rPr>
                <w:rFonts w:ascii="Times New Roman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 xml:space="preserve"> ,</w:t>
            </w:r>
          </w:p>
          <w:p w:rsidR="00A905AE" w:rsidRPr="0060191B" w:rsidRDefault="00A905AE" w:rsidP="00A905AE">
            <w:pPr>
              <w:spacing w:after="0"/>
              <w:ind w:left="-107" w:hanging="1"/>
              <w:rPr>
                <w:rFonts w:ascii="Times New Roman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ул</w:t>
            </w:r>
            <w:proofErr w:type="gramStart"/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расноармейская, д.10, кв.58   </w:t>
            </w:r>
            <w:r w:rsidRPr="0060191B">
              <w:rPr>
                <w:rFonts w:ascii="Times New Roman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A905AE" w:rsidRPr="0060191B" w:rsidRDefault="00A905AE" w:rsidP="00A905AE">
            <w:pPr>
              <w:spacing w:after="0"/>
              <w:ind w:left="-107" w:hanging="1"/>
              <w:rPr>
                <w:rFonts w:ascii="Times New Roman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60191B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серия КВ 0123456            </w:t>
            </w:r>
            <w:r w:rsidRPr="0060191B">
              <w:rPr>
                <w:rFonts w:ascii="Times New Roman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A905AE" w:rsidRPr="0060191B" w:rsidRDefault="00A905AE" w:rsidP="00A905AE">
            <w:pPr>
              <w:spacing w:after="0"/>
              <w:ind w:left="-107" w:hanging="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60191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60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Славгородским</w:t>
            </w:r>
            <w:proofErr w:type="spellEnd"/>
            <w:r w:rsidRPr="006019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РОВД, 04.07.2012</w:t>
            </w:r>
          </w:p>
          <w:p w:rsidR="00A905AE" w:rsidRPr="0060191B" w:rsidRDefault="00A905AE" w:rsidP="00A905AE">
            <w:pPr>
              <w:spacing w:after="0"/>
              <w:ind w:left="-107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AE" w:rsidRPr="003E79F3" w:rsidRDefault="00A905AE" w:rsidP="00A905AE">
            <w:pPr>
              <w:spacing w:after="0"/>
              <w:ind w:right="-284"/>
              <w:rPr>
                <w:sz w:val="32"/>
                <w:szCs w:val="28"/>
              </w:rPr>
            </w:pPr>
          </w:p>
        </w:tc>
      </w:tr>
    </w:tbl>
    <w:p w:rsidR="00A905AE" w:rsidRDefault="0060191B" w:rsidP="00A905AE">
      <w:pPr>
        <w:tabs>
          <w:tab w:val="left" w:pos="2360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60191B">
        <w:rPr>
          <w:rFonts w:ascii="Times New Roman" w:hAnsi="Times New Roman" w:cs="Times New Roman"/>
          <w:sz w:val="32"/>
          <w:szCs w:val="28"/>
        </w:rPr>
        <w:t>ЗАЯВЛЕНИЕ</w:t>
      </w:r>
    </w:p>
    <w:p w:rsidR="0060191B" w:rsidRPr="00A905AE" w:rsidRDefault="00A905AE" w:rsidP="00A905AE">
      <w:pPr>
        <w:tabs>
          <w:tab w:val="left" w:pos="236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60191B" w:rsidRPr="0060191B">
        <w:rPr>
          <w:rFonts w:ascii="Times New Roman" w:hAnsi="Times New Roman" w:cs="Times New Roman"/>
          <w:sz w:val="28"/>
          <w:szCs w:val="28"/>
        </w:rPr>
        <w:t xml:space="preserve">Прошу выдать удостоверение о праве на льготы </w:t>
      </w:r>
      <w:r w:rsidR="0060191B" w:rsidRPr="0060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</w:p>
    <w:p w:rsidR="0060191B" w:rsidRDefault="0060191B" w:rsidP="0060191B">
      <w:pPr>
        <w:tabs>
          <w:tab w:val="left" w:pos="2360"/>
        </w:tabs>
        <w:ind w:firstLine="993"/>
        <w:rPr>
          <w:sz w:val="32"/>
          <w:szCs w:val="28"/>
        </w:rPr>
      </w:pPr>
    </w:p>
    <w:p w:rsidR="0060191B" w:rsidRDefault="0060191B" w:rsidP="0060191B">
      <w:p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 xml:space="preserve">«_____»  </w:t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  <w:t>____________ 20____г.                ___________________</w:t>
      </w: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>
      <w:pPr>
        <w:tabs>
          <w:tab w:val="left" w:pos="2360"/>
        </w:tabs>
        <w:jc w:val="center"/>
      </w:pPr>
    </w:p>
    <w:p w:rsidR="0060191B" w:rsidRDefault="0060191B" w:rsidP="0060191B"/>
    <w:p w:rsidR="0060191B" w:rsidRDefault="0060191B"/>
    <w:sectPr w:rsidR="0060191B" w:rsidSect="001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179EE"/>
    <w:multiLevelType w:val="hybridMultilevel"/>
    <w:tmpl w:val="D7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6D"/>
    <w:rsid w:val="000C333E"/>
    <w:rsid w:val="001036A7"/>
    <w:rsid w:val="0060191B"/>
    <w:rsid w:val="00732DA4"/>
    <w:rsid w:val="00A905AE"/>
    <w:rsid w:val="00D00D14"/>
    <w:rsid w:val="00E3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uiPriority w:val="99"/>
    <w:rsid w:val="0073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DA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73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uiPriority w:val="99"/>
    <w:locked/>
    <w:rsid w:val="00732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19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3</cp:revision>
  <dcterms:created xsi:type="dcterms:W3CDTF">2021-04-04T12:10:00Z</dcterms:created>
  <dcterms:modified xsi:type="dcterms:W3CDTF">2021-04-05T21:32:00Z</dcterms:modified>
</cp:coreProperties>
</file>