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C" w:rsidRPr="0087035C" w:rsidRDefault="0087035C" w:rsidP="008703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8703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РАЗМЕРЫ ГОСУДАРСТВЕННЫХ ПОСОБИЙ СЕМЬЯМ, ВОСПИТЫВАЮЩИМ ДЕТЕЙ</w:t>
      </w:r>
    </w:p>
    <w:bookmarkEnd w:id="0"/>
    <w:p w:rsidR="0087035C" w:rsidRPr="0087035C" w:rsidRDefault="0087035C" w:rsidP="008703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0632" w:type="dxa"/>
        <w:tblInd w:w="-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2594"/>
        <w:gridCol w:w="1843"/>
        <w:gridCol w:w="2404"/>
      </w:tblGrid>
      <w:tr w:rsidR="0087035C" w:rsidRPr="0087035C" w:rsidTr="0087035C">
        <w:trPr>
          <w:trHeight w:val="240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Пособие, исчисляемое из среднемесячной заработной платы работников в республике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Размер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Сумма, в рублях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Сумма, в рублях</w:t>
            </w:r>
          </w:p>
        </w:tc>
      </w:tr>
      <w:tr w:rsidR="0087035C" w:rsidRPr="0087035C" w:rsidTr="008703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5C" w:rsidRPr="0087035C" w:rsidRDefault="0087035C" w:rsidP="0087035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5C" w:rsidRPr="0087035C" w:rsidRDefault="0087035C" w:rsidP="0087035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01.08.2019 по 31.01.2020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01.02.2020 по 31.07.2020</w:t>
            </w:r>
          </w:p>
        </w:tc>
      </w:tr>
      <w:tr w:rsidR="0087035C" w:rsidRPr="0087035C" w:rsidTr="0087035C">
        <w:trPr>
          <w:trHeight w:val="24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по уходу за ребенком в возрасте до 3 лет (ежемесячное):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87035C" w:rsidRPr="0087035C" w:rsidTr="0087035C">
        <w:trPr>
          <w:trHeight w:val="240"/>
        </w:trPr>
        <w:tc>
          <w:tcPr>
            <w:tcW w:w="379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на первого ребенка</w:t>
            </w:r>
          </w:p>
        </w:tc>
        <w:tc>
          <w:tcPr>
            <w:tcW w:w="25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5" w:anchor="&amp;Article=13&amp;Point=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35 процентов среднемесячной заработной платы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376,11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405,48</w:t>
            </w:r>
          </w:p>
        </w:tc>
      </w:tr>
      <w:tr w:rsidR="0087035C" w:rsidRPr="0087035C" w:rsidTr="0087035C">
        <w:trPr>
          <w:trHeight w:val="24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на второго и последующих детей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6" w:anchor="&amp;Article=13&amp;Point=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40 процентов среднемесячной заработной платы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429,84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463,40</w:t>
            </w:r>
          </w:p>
        </w:tc>
      </w:tr>
      <w:tr w:rsidR="0087035C" w:rsidRPr="0087035C" w:rsidTr="0087035C">
        <w:trPr>
          <w:trHeight w:val="24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на ребенка-инвалида до 3 лет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7" w:anchor="&amp;Article=13&amp;Point=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45 процентов среднемесячной заработной платы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483,57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521,33</w:t>
            </w:r>
          </w:p>
        </w:tc>
      </w:tr>
    </w:tbl>
    <w:p w:rsidR="0087035C" w:rsidRPr="0087035C" w:rsidRDefault="0087035C" w:rsidP="008703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7035C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tbl>
      <w:tblPr>
        <w:tblW w:w="11239" w:type="dxa"/>
        <w:tblInd w:w="-1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587"/>
        <w:gridCol w:w="1628"/>
        <w:gridCol w:w="1613"/>
        <w:gridCol w:w="1613"/>
      </w:tblGrid>
      <w:tr w:rsidR="0087035C" w:rsidRPr="0087035C" w:rsidTr="0087035C">
        <w:trPr>
          <w:trHeight w:val="24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Пособие, исчисляемое из бюджета прожиточного минимума в среднем на душу населения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Размер пособия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Сумма, в рублях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Сумма, в рублях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Сумма, в рублях</w:t>
            </w:r>
          </w:p>
        </w:tc>
      </w:tr>
      <w:tr w:rsidR="0087035C" w:rsidRPr="0087035C" w:rsidTr="008703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5C" w:rsidRPr="0087035C" w:rsidRDefault="0087035C" w:rsidP="0087035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5C" w:rsidRPr="0087035C" w:rsidRDefault="0087035C" w:rsidP="0087035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01.11.2019 по 31.01.2020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01.02.2020 по 30.04.2020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01.05.2020 по 31.07.2020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в связи с рождением ребенка (единовременное):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при рождении первого ребенка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8" w:anchor="&amp;Article=11&amp;Point=2&amp;UnderPoint=2.1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10-кратная наибольшая величина бюджета прожиточного минимума</w:t>
              </w:r>
            </w:hyperlink>
            <w:r w:rsidRPr="0087035C">
              <w:rPr>
                <w:rFonts w:ascii="inherit" w:eastAsia="Times New Roman" w:hAnsi="inherit" w:cs="Times New Roman"/>
                <w:lang w:eastAsia="ru-RU"/>
              </w:rPr>
              <w:t>, действующего на дату рождения ребенка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2318,30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2398,70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2467,80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при рождении второго и последующих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9" w:anchor="&amp;Article=11&amp;Point=2&amp;UnderPoint=2.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14-кратная наибольшая величина бюджета прожиточного минимума</w:t>
              </w:r>
            </w:hyperlink>
            <w:r w:rsidRPr="0087035C">
              <w:rPr>
                <w:rFonts w:ascii="inherit" w:eastAsia="Times New Roman" w:hAnsi="inherit" w:cs="Times New Roman"/>
                <w:lang w:eastAsia="ru-RU"/>
              </w:rPr>
              <w:t>, действующего на дату рождения ребенка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3245,62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3358,18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3454,92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женщинам, ставшим на учет в организациях здравоохранения до 12-недельного срока беременности (единовременное)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0" w:anchor="&amp;Article=10&amp;Point=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100 процентов наибольшей величины бюджета прожиточного минимума</w:t>
              </w:r>
            </w:hyperlink>
            <w:r w:rsidRPr="0087035C">
              <w:rPr>
                <w:rFonts w:ascii="inherit" w:eastAsia="Times New Roman" w:hAnsi="inherit" w:cs="Times New Roman"/>
                <w:lang w:eastAsia="ru-RU"/>
              </w:rPr>
              <w:t>, действующего на дату рождения ребенка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231,83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239,87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246,78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семьям на детей в возрасте от 3 до 18 лет в период воспитания ребенка в возрасте до 3 лет (ежемесячное)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1" w:anchor="&amp;Article=14&amp;Point=3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50 процентов наибольшей величины бюджета прожиточного минимума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115,92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119,94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123,39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на детей старше 3 лет из отдельных категорий семей, предусмотренных законодательством (ежемесячное):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на детей старше 3 лет, воспитываемых в таких семьях (кроме ребенка-инвалида)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2" w:anchor="&amp;Article=15&amp;Point=3&amp;UnderPoint=3.2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>50 процентов наибольшей величины бюджета прожиточного минимума</w:t>
              </w:r>
            </w:hyperlink>
          </w:p>
        </w:tc>
        <w:tc>
          <w:tcPr>
            <w:tcW w:w="162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115,92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119,94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123,39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на ребенка-инвалида старше 3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3" w:anchor="&amp;Article=15&amp;Point=3&amp;UnderPoint=3.1" w:history="1"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t xml:space="preserve">70 процентов наибольшей величины бюджета </w:t>
              </w:r>
              <w:r w:rsidRPr="0087035C">
                <w:rPr>
                  <w:rFonts w:ascii="inherit" w:eastAsia="Times New Roman" w:hAnsi="inherit" w:cs="Times New Roman"/>
                  <w:bdr w:val="none" w:sz="0" w:space="0" w:color="auto" w:frame="1"/>
                  <w:lang w:eastAsia="ru-RU"/>
                </w:rPr>
                <w:lastRenderedPageBreak/>
                <w:t>прожиточного минимума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lastRenderedPageBreak/>
              <w:t>162,28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167,91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172,75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lastRenderedPageBreak/>
              <w:t>Пособие по уходу за ребенком-инвалидом в возрасте до 18 лет (ежемесячное)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I и II степенью утраты здоровья до исполнения ребенку 18 лет и</w:t>
            </w:r>
            <w:r w:rsidRPr="0087035C">
              <w:rPr>
                <w:rFonts w:ascii="inherit" w:eastAsia="Times New Roman" w:hAnsi="inherit" w:cs="Times New Roman"/>
                <w:lang w:eastAsia="ru-RU"/>
              </w:rPr>
              <w:br/>
              <w:t>с III и IV степенью утраты здоровья до исполнения ребенку возраста 3 лет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4" w:anchor="&amp;Article=18&amp;Point=5" w:history="1">
              <w:r w:rsidRPr="0087035C">
                <w:rPr>
                  <w:rFonts w:ascii="inherit" w:eastAsia="Times New Roman" w:hAnsi="inherit" w:cs="Times New Roman"/>
                  <w:color w:val="000CFF"/>
                  <w:bdr w:val="none" w:sz="0" w:space="0" w:color="auto" w:frame="1"/>
                  <w:lang w:eastAsia="ru-RU"/>
                </w:rPr>
                <w:t>100 процентов наибольшей величины бюджета прожиточного минимума</w:t>
              </w:r>
            </w:hyperlink>
          </w:p>
        </w:tc>
        <w:tc>
          <w:tcPr>
            <w:tcW w:w="162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231,83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239,87</w:t>
            </w:r>
          </w:p>
        </w:tc>
        <w:tc>
          <w:tcPr>
            <w:tcW w:w="161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246,78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ind w:left="283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с III и IV степенью утраты здоровья после исполнения ребенку возраста 3 лет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5" w:anchor="&amp;Article=18&amp;Point=5" w:history="1">
              <w:r w:rsidRPr="0087035C">
                <w:rPr>
                  <w:rFonts w:ascii="inherit" w:eastAsia="Times New Roman" w:hAnsi="inherit" w:cs="Times New Roman"/>
                  <w:color w:val="000CFF"/>
                  <w:bdr w:val="none" w:sz="0" w:space="0" w:color="auto" w:frame="1"/>
                  <w:lang w:eastAsia="ru-RU"/>
                </w:rPr>
                <w:t>120 процентов наибольшей величины бюджета прожиточного минимума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278,20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287,84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296,14</w:t>
            </w:r>
          </w:p>
        </w:tc>
      </w:tr>
      <w:tr w:rsidR="0087035C" w:rsidRPr="0087035C" w:rsidTr="0087035C">
        <w:trPr>
          <w:trHeight w:val="2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Пособие на детей в возрасте до 18 лет, инфицированных вирусом иммунодефицита человека (ежемесячное)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hyperlink r:id="rId16" w:anchor="&amp;Article=17&amp;Point=2" w:history="1">
              <w:r w:rsidRPr="0087035C">
                <w:rPr>
                  <w:rFonts w:ascii="inherit" w:eastAsia="Times New Roman" w:hAnsi="inherit" w:cs="Times New Roman"/>
                  <w:color w:val="000CFF"/>
                  <w:bdr w:val="none" w:sz="0" w:space="0" w:color="auto" w:frame="1"/>
                  <w:lang w:eastAsia="ru-RU"/>
                </w:rPr>
                <w:t>70 процентов наибольшей величины бюджета прожиточного минимума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162,28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167,91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035C" w:rsidRPr="0087035C" w:rsidRDefault="0087035C" w:rsidP="008703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87035C">
              <w:rPr>
                <w:rFonts w:ascii="inherit" w:eastAsia="Times New Roman" w:hAnsi="inherit" w:cs="Times New Roman"/>
                <w:lang w:eastAsia="ru-RU"/>
              </w:rPr>
              <w:t>172,75</w:t>
            </w:r>
          </w:p>
        </w:tc>
      </w:tr>
    </w:tbl>
    <w:p w:rsidR="0087035C" w:rsidRPr="0087035C" w:rsidRDefault="0087035C" w:rsidP="008703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03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76006" w:rsidRDefault="00476006"/>
    <w:sectPr w:rsidR="004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B"/>
    <w:rsid w:val="00476006"/>
    <w:rsid w:val="005D15BB"/>
    <w:rsid w:val="005F577E"/>
    <w:rsid w:val="008308BB"/>
    <w:rsid w:val="0087035C"/>
    <w:rsid w:val="009A20B0"/>
    <w:rsid w:val="00A231C0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umheader">
    <w:name w:val="nonumheader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35C"/>
    <w:rPr>
      <w:color w:val="0000FF"/>
      <w:u w:val="single"/>
    </w:rPr>
  </w:style>
  <w:style w:type="paragraph" w:customStyle="1" w:styleId="newncpi">
    <w:name w:val="newncpi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umheader">
    <w:name w:val="nonumheader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35C"/>
    <w:rPr>
      <w:color w:val="0000FF"/>
      <w:u w:val="single"/>
    </w:rPr>
  </w:style>
  <w:style w:type="paragraph" w:customStyle="1" w:styleId="newncpi">
    <w:name w:val="newncpi"/>
    <w:basedOn w:val="a"/>
    <w:rsid w:val="008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H11200007" TargetMode="External"/><Relationship Id="rId13" Type="http://schemas.openxmlformats.org/officeDocument/2006/relationships/hyperlink" Target="http://www.pravo.by/webnpa/text.asp?RN=H11200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text.asp?RN=H11200007" TargetMode="External"/><Relationship Id="rId12" Type="http://schemas.openxmlformats.org/officeDocument/2006/relationships/hyperlink" Target="http://www.pravo.by/webnpa/text.asp?RN=H112000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by/webnpa/text.asp?RN=H112000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11200007" TargetMode="External"/><Relationship Id="rId11" Type="http://schemas.openxmlformats.org/officeDocument/2006/relationships/hyperlink" Target="http://www.pravo.by/webnpa/text.asp?RN=H11200007" TargetMode="External"/><Relationship Id="rId5" Type="http://schemas.openxmlformats.org/officeDocument/2006/relationships/hyperlink" Target="http://www.pravo.by/webnpa/text.asp?RN=H11200007" TargetMode="External"/><Relationship Id="rId15" Type="http://schemas.openxmlformats.org/officeDocument/2006/relationships/hyperlink" Target="http://www.pravo.by/webnpa/text.asp?RN=H11200007" TargetMode="External"/><Relationship Id="rId10" Type="http://schemas.openxmlformats.org/officeDocument/2006/relationships/hyperlink" Target="http://www.pravo.by/webnpa/text.asp?RN=H112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text.asp?RN=H11200007" TargetMode="External"/><Relationship Id="rId14" Type="http://schemas.openxmlformats.org/officeDocument/2006/relationships/hyperlink" Target="http://www.pravo.by/webnpa/text.asp?RN=H112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Company>Krokoz™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2020-05-29T10:38:00Z</dcterms:created>
  <dcterms:modified xsi:type="dcterms:W3CDTF">2020-05-29T10:40:00Z</dcterms:modified>
</cp:coreProperties>
</file>