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19" w:rsidRDefault="009F7519" w:rsidP="00CF7E1F">
      <w:pPr>
        <w:pStyle w:val="a3"/>
        <w:spacing w:before="0" w:beforeAutospacing="0" w:after="0" w:afterAutospacing="0" w:line="360" w:lineRule="atLeast"/>
        <w:ind w:firstLine="708"/>
        <w:jc w:val="center"/>
        <w:rPr>
          <w:b/>
          <w:bCs/>
          <w:sz w:val="48"/>
          <w:szCs w:val="48"/>
        </w:rPr>
      </w:pPr>
    </w:p>
    <w:p w:rsidR="00CF7E1F" w:rsidRPr="00CF7E1F" w:rsidRDefault="00CF7E1F" w:rsidP="00CF7E1F">
      <w:pPr>
        <w:pStyle w:val="a3"/>
        <w:spacing w:before="0" w:beforeAutospacing="0" w:after="0" w:afterAutospacing="0" w:line="360" w:lineRule="atLeast"/>
        <w:ind w:firstLine="708"/>
        <w:jc w:val="center"/>
        <w:rPr>
          <w:sz w:val="48"/>
          <w:szCs w:val="48"/>
        </w:rPr>
      </w:pPr>
      <w:r w:rsidRPr="00CF7E1F">
        <w:rPr>
          <w:b/>
          <w:bCs/>
          <w:sz w:val="48"/>
          <w:szCs w:val="48"/>
        </w:rPr>
        <w:t>Выплата пенсии</w:t>
      </w:r>
      <w:r w:rsidR="00EC02B5">
        <w:rPr>
          <w:b/>
          <w:bCs/>
          <w:sz w:val="48"/>
          <w:szCs w:val="48"/>
        </w:rPr>
        <w:t xml:space="preserve">  индивидуальным предпринимателя</w:t>
      </w:r>
      <w:bookmarkStart w:id="0" w:name="_GoBack"/>
      <w:bookmarkEnd w:id="0"/>
      <w:r w:rsidRPr="00CF7E1F">
        <w:rPr>
          <w:b/>
          <w:bCs/>
          <w:sz w:val="48"/>
          <w:szCs w:val="48"/>
        </w:rPr>
        <w:t>м</w:t>
      </w:r>
    </w:p>
    <w:p w:rsidR="00CF7E1F" w:rsidRDefault="00CF7E1F" w:rsidP="00CF7E1F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F7E1F" w:rsidRPr="005C63A5" w:rsidRDefault="00CF7E1F" w:rsidP="005C63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571E">
        <w:rPr>
          <w:sz w:val="28"/>
          <w:szCs w:val="28"/>
        </w:rPr>
        <w:t>Согласно части первой статьи 8</w:t>
      </w:r>
      <w:r w:rsidR="005C63A5" w:rsidRPr="0013571E">
        <w:rPr>
          <w:sz w:val="28"/>
          <w:szCs w:val="28"/>
        </w:rPr>
        <w:t xml:space="preserve">3 Закона Республики Беларусь </w:t>
      </w:r>
      <w:r w:rsidRPr="0013571E">
        <w:rPr>
          <w:sz w:val="28"/>
          <w:szCs w:val="28"/>
        </w:rPr>
        <w:t xml:space="preserve">«О пенсионном обеспечении» </w:t>
      </w:r>
      <w:r w:rsidR="0013571E" w:rsidRPr="0013571E">
        <w:rPr>
          <w:sz w:val="28"/>
          <w:szCs w:val="28"/>
        </w:rPr>
        <w:t xml:space="preserve">от 17 апреля 1992 г. N 1596-XII </w:t>
      </w:r>
      <w:r w:rsidRPr="0013571E">
        <w:rPr>
          <w:sz w:val="28"/>
          <w:szCs w:val="28"/>
        </w:rPr>
        <w:t>(далее – Закон) часть пенсии, исчисленная с учётом заработка свыше 130 процентов средней заработной платы рабочих и служащих в республике, применяемой для корректировки фактического заработка</w:t>
      </w:r>
      <w:r w:rsidRPr="005C63A5">
        <w:rPr>
          <w:sz w:val="28"/>
          <w:szCs w:val="28"/>
        </w:rPr>
        <w:t xml:space="preserve"> пенсионера, в период работы либо занятия предпринимательской деятельностью (за исключением работы непосредственно в производстве сельскохозяйственной продукции в колхозах</w:t>
      </w:r>
      <w:proofErr w:type="gramEnd"/>
      <w:r w:rsidRPr="005C63A5">
        <w:rPr>
          <w:sz w:val="28"/>
          <w:szCs w:val="28"/>
        </w:rPr>
        <w:t xml:space="preserve">, </w:t>
      </w:r>
      <w:proofErr w:type="gramStart"/>
      <w:r w:rsidRPr="005C63A5">
        <w:rPr>
          <w:sz w:val="28"/>
          <w:szCs w:val="28"/>
        </w:rPr>
        <w:t>совхозах</w:t>
      </w:r>
      <w:proofErr w:type="gramEnd"/>
      <w:r w:rsidRPr="005C63A5">
        <w:rPr>
          <w:sz w:val="28"/>
          <w:szCs w:val="28"/>
        </w:rPr>
        <w:t xml:space="preserve"> и других предприятиях сельского хозяйства) не выплачивается. Данная норма Закона в части ограничения выплаты пенсии в период работы либо занятия предпринимательской деятельностью введена с 01.04.1999г.</w:t>
      </w:r>
    </w:p>
    <w:p w:rsidR="00CF7E1F" w:rsidRPr="00C734B1" w:rsidRDefault="00CF7E1F" w:rsidP="00C73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34B1" w:rsidRPr="00C734B1">
        <w:rPr>
          <w:rFonts w:ascii="Times New Roman" w:hAnsi="Times New Roman" w:cs="Times New Roman"/>
          <w:sz w:val="28"/>
          <w:szCs w:val="28"/>
        </w:rPr>
        <w:t>Положением о государственной регистрации субъектов хозяйствования, утвержденного Декретом Президента Республики Беларусь от 16 января 2009 г. N 1 "О государственной регистрации и ликвидации (прекращении деятельности) субъектов хозяйствования"</w:t>
      </w:r>
      <w:r w:rsidR="00C734B1">
        <w:rPr>
          <w:rFonts w:ascii="Times New Roman" w:hAnsi="Times New Roman" w:cs="Times New Roman"/>
          <w:sz w:val="28"/>
          <w:szCs w:val="28"/>
        </w:rPr>
        <w:t xml:space="preserve"> </w:t>
      </w:r>
      <w:r w:rsidRPr="00C734B1">
        <w:rPr>
          <w:rFonts w:ascii="Times New Roman" w:hAnsi="Times New Roman" w:cs="Times New Roman"/>
          <w:sz w:val="28"/>
          <w:szCs w:val="28"/>
        </w:rPr>
        <w:t>статус предпринимателя приобретается посредством государственной регистрации.</w:t>
      </w:r>
    </w:p>
    <w:p w:rsidR="00CF7E1F" w:rsidRPr="005C63A5" w:rsidRDefault="00CF7E1F" w:rsidP="005C63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3A5">
        <w:rPr>
          <w:sz w:val="28"/>
          <w:szCs w:val="28"/>
        </w:rPr>
        <w:t>Пунктом 1 статьи 22 Гражданского кодекса Республики Беларусь определено, что право на занятие предпринимательской деятельностью у индивидуального предпринимателя возникает с момента государственной регистрации. С учетом этого, при решении вопроса о выплате пенсии в соответствии с частью первой статьи 83 Закона, за дату начала предпринимательской деятельности принимается дата государственной регистрации в качестве индивидуального предпринимателя.</w:t>
      </w:r>
    </w:p>
    <w:p w:rsidR="00CF7E1F" w:rsidRPr="005C63A5" w:rsidRDefault="00CF7E1F" w:rsidP="005C63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3A5">
        <w:rPr>
          <w:sz w:val="28"/>
          <w:szCs w:val="28"/>
        </w:rPr>
        <w:t>Что касается неполучения пенсионером, зарегистрированным индивидуальным предпринимателем, дохода от предпринимательской деятельности, то данного факта недостаточно для принятия решения о выплате пенсии в полном размере (без ограничения, установленного частью первой статьи 83 Закона), поскольку неполучение индивидуальным предпринимателем дохода не может однозначно свидетельствовать о неосуществлении (приостановлении) им предпринимательской деятельности.</w:t>
      </w:r>
    </w:p>
    <w:p w:rsidR="00CF7E1F" w:rsidRPr="005C63A5" w:rsidRDefault="00CF7E1F" w:rsidP="005C63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3A5">
        <w:rPr>
          <w:sz w:val="28"/>
          <w:szCs w:val="28"/>
        </w:rPr>
        <w:t xml:space="preserve">Деятельность индивидуального предпринимателя считается приостановленной </w:t>
      </w:r>
      <w:proofErr w:type="gramStart"/>
      <w:r w:rsidRPr="005C63A5">
        <w:rPr>
          <w:sz w:val="28"/>
          <w:szCs w:val="28"/>
        </w:rPr>
        <w:t>с даты внесения</w:t>
      </w:r>
      <w:proofErr w:type="gramEnd"/>
      <w:r w:rsidRPr="005C63A5">
        <w:rPr>
          <w:sz w:val="28"/>
          <w:szCs w:val="28"/>
        </w:rPr>
        <w:t xml:space="preserve"> записи о ликвидации (прекращении деятельности) в Единый государственный регистр юридических лиц и индивидуальных предпринимателей (пункт 22 Положения о ликвидации (прекращении деятельности) субъектов хозяйствования, утвержденного Декретом Президента Республики Беларусь 16.01.2009г. №1).</w:t>
      </w:r>
    </w:p>
    <w:p w:rsidR="0067480D" w:rsidRDefault="00CF7E1F" w:rsidP="005C63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3A5">
        <w:rPr>
          <w:sz w:val="28"/>
          <w:szCs w:val="28"/>
        </w:rPr>
        <w:t xml:space="preserve">В соответствии со статьей 93 Закона пенсионер обязан извещать орган, выплачивающий ему пенсию, об обстоятельствах, влекущих изменение размера пенсии или прекращение ее выплаты. </w:t>
      </w:r>
    </w:p>
    <w:p w:rsidR="0067480D" w:rsidRDefault="00CF7E1F" w:rsidP="005C63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3A5">
        <w:rPr>
          <w:sz w:val="28"/>
          <w:szCs w:val="28"/>
        </w:rPr>
        <w:t xml:space="preserve">К данным обстоятельствам относится и факт занятия предпринимательской деятельностью. </w:t>
      </w:r>
    </w:p>
    <w:p w:rsidR="00CF7E1F" w:rsidRPr="005C63A5" w:rsidRDefault="00CF7E1F" w:rsidP="005C63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3A5">
        <w:rPr>
          <w:sz w:val="28"/>
          <w:szCs w:val="28"/>
        </w:rPr>
        <w:lastRenderedPageBreak/>
        <w:t>Одновременно, при подаче в орган, назначающий пенсию, заявления о назначении пенсии пенсионер лично обязуется извещать об обстоятельствах, влекущих изменение размера пенсии или прекращение ее выплаты, что заверяет своей подписью в расписке-уведомлении. Данное заявление и расписка-уведомление сохраняется в пенсионном деле, один экземпляр расписки-уведомления выдается на руки заявителю. </w:t>
      </w:r>
    </w:p>
    <w:p w:rsidR="00CF7E1F" w:rsidRPr="005C63A5" w:rsidRDefault="00CF7E1F" w:rsidP="005C63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C63A5">
        <w:rPr>
          <w:sz w:val="28"/>
          <w:szCs w:val="28"/>
        </w:rPr>
        <w:t xml:space="preserve">В случае установления фактов переплат пенсии, вследствие того, что пенсионер, зарегистрированный индивидуальным предпринимателем, не сообщил в орган, выплачивающий ему пенсию, о занятии предпринимательской деятельностью, </w:t>
      </w:r>
      <w:proofErr w:type="spellStart"/>
      <w:r w:rsidRPr="005C63A5">
        <w:rPr>
          <w:sz w:val="28"/>
          <w:szCs w:val="28"/>
        </w:rPr>
        <w:t>переполученная</w:t>
      </w:r>
      <w:proofErr w:type="spellEnd"/>
      <w:r w:rsidRPr="005C63A5">
        <w:rPr>
          <w:sz w:val="28"/>
          <w:szCs w:val="28"/>
        </w:rPr>
        <w:t xml:space="preserve"> им сумма денежных средств подлежит восстановлению в Фонд социальной защиты населения Министерства труда и социальной защиты Республики Беларусь в полном объеме за весь период получения завышенного размера пенсии.</w:t>
      </w:r>
      <w:proofErr w:type="gramEnd"/>
    </w:p>
    <w:p w:rsidR="00CF7E1F" w:rsidRPr="005C63A5" w:rsidRDefault="00CF7E1F" w:rsidP="005C63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4B1">
        <w:rPr>
          <w:sz w:val="28"/>
          <w:szCs w:val="28"/>
        </w:rPr>
        <w:t>В соответствии</w:t>
      </w:r>
      <w:r w:rsidRPr="005C63A5">
        <w:rPr>
          <w:sz w:val="28"/>
          <w:szCs w:val="28"/>
        </w:rPr>
        <w:t xml:space="preserve"> со статьей 94 Закона суммы пенсии, излишне выплаченные пенсионеру вследствие </w:t>
      </w:r>
      <w:proofErr w:type="gramStart"/>
      <w:r w:rsidRPr="005C63A5">
        <w:rPr>
          <w:sz w:val="28"/>
          <w:szCs w:val="28"/>
        </w:rPr>
        <w:t>не исполнения</w:t>
      </w:r>
      <w:proofErr w:type="gramEnd"/>
      <w:r w:rsidRPr="005C63A5">
        <w:rPr>
          <w:sz w:val="28"/>
          <w:szCs w:val="28"/>
        </w:rPr>
        <w:t xml:space="preserve"> им обязанностей, возложенных статьей 93 Закона, на основании решений комиссий по назначению пенсий удерживаются из пенсий путем ежемесячных взысканий (не свыше 20% от суммы назначенной пенсии) до полного погашения установленной суммы переплаты пенсии. </w:t>
      </w:r>
    </w:p>
    <w:p w:rsidR="00CF7E1F" w:rsidRPr="005C63A5" w:rsidRDefault="00CF7E1F" w:rsidP="005C63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3A5">
        <w:rPr>
          <w:sz w:val="28"/>
          <w:szCs w:val="28"/>
        </w:rPr>
        <w:t>Для исключения вышеуказанных фактов пенсионеру, зарегистрировавшемуся индивидуальным предпринимателем, следует в орган, выплачивающий ему пенсию, представить копию свидетельства о регистрации индивидуальным предпринимателем и при необходимости документы, подтверждающие не осуществление данной деятельности. </w:t>
      </w:r>
    </w:p>
    <w:p w:rsidR="005C63A5" w:rsidRPr="005C63A5" w:rsidRDefault="005C63A5" w:rsidP="005C63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3A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информируем, что </w:t>
      </w:r>
      <w:r w:rsidRPr="005C63A5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постоянно проживающим в Беларуси неработающим получателям пенсий в органах по труду, занятости и соцзащите, достигшим определенного возраста</w:t>
      </w:r>
      <w:r w:rsidRPr="005C63A5">
        <w:rPr>
          <w:rFonts w:ascii="Times New Roman" w:hAnsi="Times New Roman" w:cs="Times New Roman"/>
          <w:color w:val="000000"/>
          <w:sz w:val="28"/>
          <w:szCs w:val="28"/>
        </w:rPr>
        <w:t xml:space="preserve">,  устанавливается </w:t>
      </w:r>
      <w:r w:rsidRPr="005C63A5">
        <w:rPr>
          <w:rFonts w:ascii="Times New Roman" w:hAnsi="Times New Roman" w:cs="Times New Roman"/>
          <w:b/>
          <w:color w:val="000000"/>
          <w:sz w:val="28"/>
          <w:szCs w:val="28"/>
        </w:rPr>
        <w:t>ежемесячно выплачиваемая доплата</w:t>
      </w:r>
      <w:r w:rsidRPr="005C63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63A5" w:rsidRPr="005C63A5" w:rsidRDefault="005C63A5" w:rsidP="005C63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3A5">
        <w:rPr>
          <w:rFonts w:ascii="Times New Roman" w:hAnsi="Times New Roman" w:cs="Times New Roman"/>
          <w:b/>
          <w:color w:val="000000"/>
          <w:sz w:val="28"/>
          <w:szCs w:val="28"/>
        </w:rPr>
        <w:t>В возрасте от 75 лет</w:t>
      </w:r>
      <w:r w:rsidRPr="005C63A5">
        <w:rPr>
          <w:rFonts w:ascii="Times New Roman" w:hAnsi="Times New Roman" w:cs="Times New Roman"/>
          <w:color w:val="000000"/>
          <w:sz w:val="28"/>
          <w:szCs w:val="28"/>
        </w:rPr>
        <w:t xml:space="preserve"> она составляет </w:t>
      </w:r>
      <w:r w:rsidR="0067480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C63A5">
        <w:rPr>
          <w:rFonts w:ascii="Times New Roman" w:hAnsi="Times New Roman" w:cs="Times New Roman"/>
          <w:b/>
          <w:color w:val="000000"/>
          <w:sz w:val="28"/>
          <w:szCs w:val="28"/>
        </w:rPr>
        <w:t>75%</w:t>
      </w:r>
      <w:r w:rsidRPr="005C63A5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минимального размера пенсии по возрасту, а </w:t>
      </w:r>
      <w:r w:rsidRPr="005C63A5">
        <w:rPr>
          <w:rFonts w:ascii="Times New Roman" w:hAnsi="Times New Roman" w:cs="Times New Roman"/>
          <w:b/>
          <w:color w:val="000000"/>
          <w:sz w:val="28"/>
          <w:szCs w:val="28"/>
        </w:rPr>
        <w:t>по достижении 80 лет</w:t>
      </w:r>
      <w:r w:rsidRPr="005C63A5">
        <w:rPr>
          <w:rFonts w:ascii="Times New Roman" w:hAnsi="Times New Roman" w:cs="Times New Roman"/>
          <w:color w:val="000000"/>
          <w:sz w:val="28"/>
          <w:szCs w:val="28"/>
        </w:rPr>
        <w:t xml:space="preserve"> увеличивается </w:t>
      </w:r>
      <w:r w:rsidRPr="005C63A5">
        <w:rPr>
          <w:rFonts w:ascii="Times New Roman" w:hAnsi="Times New Roman" w:cs="Times New Roman"/>
          <w:b/>
          <w:color w:val="000000"/>
          <w:sz w:val="28"/>
          <w:szCs w:val="28"/>
        </w:rPr>
        <w:t>до 100%.</w:t>
      </w:r>
    </w:p>
    <w:p w:rsidR="005C63A5" w:rsidRPr="005C63A5" w:rsidRDefault="005C63A5" w:rsidP="005C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3A5"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этого, согласно ст. 25 Закона, </w:t>
      </w:r>
      <w:r w:rsidRPr="005C63A5">
        <w:rPr>
          <w:rFonts w:ascii="Times New Roman" w:hAnsi="Times New Roman" w:cs="Times New Roman"/>
          <w:sz w:val="28"/>
          <w:szCs w:val="28"/>
        </w:rPr>
        <w:t>к пенсии по возрасту устанавливается надбавка на уход:</w:t>
      </w:r>
    </w:p>
    <w:p w:rsidR="005C63A5" w:rsidRPr="005C63A5" w:rsidRDefault="005C63A5" w:rsidP="005C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D">
        <w:rPr>
          <w:rFonts w:ascii="Times New Roman" w:hAnsi="Times New Roman" w:cs="Times New Roman"/>
          <w:b/>
          <w:sz w:val="28"/>
          <w:szCs w:val="28"/>
        </w:rPr>
        <w:t>инвалидам I группы</w:t>
      </w:r>
      <w:r w:rsidRPr="005C63A5">
        <w:rPr>
          <w:rFonts w:ascii="Times New Roman" w:hAnsi="Times New Roman" w:cs="Times New Roman"/>
          <w:sz w:val="28"/>
          <w:szCs w:val="28"/>
        </w:rPr>
        <w:t xml:space="preserve"> - </w:t>
      </w:r>
      <w:r w:rsidRPr="0067480D">
        <w:rPr>
          <w:rFonts w:ascii="Times New Roman" w:hAnsi="Times New Roman" w:cs="Times New Roman"/>
          <w:b/>
          <w:sz w:val="28"/>
          <w:szCs w:val="28"/>
        </w:rPr>
        <w:t>100 процентов</w:t>
      </w:r>
      <w:r w:rsidRPr="005C63A5">
        <w:rPr>
          <w:rFonts w:ascii="Times New Roman" w:hAnsi="Times New Roman" w:cs="Times New Roman"/>
          <w:sz w:val="28"/>
          <w:szCs w:val="28"/>
        </w:rPr>
        <w:t xml:space="preserve"> минимального размера пенсии по возрасту;</w:t>
      </w:r>
    </w:p>
    <w:p w:rsidR="005C63A5" w:rsidRPr="005C63A5" w:rsidRDefault="005C63A5" w:rsidP="005C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D">
        <w:rPr>
          <w:rFonts w:ascii="Times New Roman" w:hAnsi="Times New Roman" w:cs="Times New Roman"/>
          <w:b/>
          <w:sz w:val="28"/>
          <w:szCs w:val="28"/>
        </w:rPr>
        <w:t>пенсионерам, достигшим 80-летнего возраста</w:t>
      </w:r>
      <w:r w:rsidRPr="0067480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7480D">
        <w:rPr>
          <w:rFonts w:ascii="Times New Roman" w:hAnsi="Times New Roman" w:cs="Times New Roman"/>
          <w:b/>
          <w:sz w:val="28"/>
          <w:szCs w:val="28"/>
        </w:rPr>
        <w:t>другим одиноким пенсионерам, нуждающимся по заключению медико-реабилитационных экспертных комиссий (МРЭК) или врачебно-консультационных комиссий (ВКК) в постоянной посторонней помощи</w:t>
      </w:r>
      <w:r w:rsidRPr="0067480D">
        <w:rPr>
          <w:rFonts w:ascii="Times New Roman" w:hAnsi="Times New Roman" w:cs="Times New Roman"/>
          <w:sz w:val="28"/>
          <w:szCs w:val="28"/>
        </w:rPr>
        <w:t xml:space="preserve">, - </w:t>
      </w:r>
      <w:r w:rsidRPr="0067480D">
        <w:rPr>
          <w:rFonts w:ascii="Times New Roman" w:hAnsi="Times New Roman" w:cs="Times New Roman"/>
          <w:b/>
          <w:sz w:val="28"/>
          <w:szCs w:val="28"/>
        </w:rPr>
        <w:t>50 процентов</w:t>
      </w:r>
      <w:r w:rsidRPr="0067480D">
        <w:rPr>
          <w:rFonts w:ascii="Times New Roman" w:hAnsi="Times New Roman" w:cs="Times New Roman"/>
          <w:sz w:val="28"/>
          <w:szCs w:val="28"/>
        </w:rPr>
        <w:t xml:space="preserve"> минимального </w:t>
      </w:r>
      <w:hyperlink r:id="rId6" w:history="1">
        <w:r w:rsidRPr="0067480D">
          <w:rPr>
            <w:rFonts w:ascii="Times New Roman" w:hAnsi="Times New Roman" w:cs="Times New Roman"/>
            <w:sz w:val="28"/>
            <w:szCs w:val="28"/>
          </w:rPr>
          <w:t>размера</w:t>
        </w:r>
      </w:hyperlink>
      <w:r w:rsidRPr="0067480D">
        <w:rPr>
          <w:rFonts w:ascii="Times New Roman" w:hAnsi="Times New Roman" w:cs="Times New Roman"/>
          <w:sz w:val="28"/>
          <w:szCs w:val="28"/>
        </w:rPr>
        <w:t xml:space="preserve"> пенсии по возрасту</w:t>
      </w:r>
      <w:r w:rsidRPr="005C63A5">
        <w:rPr>
          <w:rFonts w:ascii="Times New Roman" w:hAnsi="Times New Roman" w:cs="Times New Roman"/>
          <w:sz w:val="28"/>
          <w:szCs w:val="28"/>
        </w:rPr>
        <w:t>.</w:t>
      </w:r>
    </w:p>
    <w:p w:rsidR="005C63A5" w:rsidRPr="005C63A5" w:rsidRDefault="005C63A5" w:rsidP="005C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3A5">
        <w:rPr>
          <w:rFonts w:ascii="Times New Roman" w:hAnsi="Times New Roman" w:cs="Times New Roman"/>
          <w:sz w:val="28"/>
          <w:szCs w:val="28"/>
        </w:rPr>
        <w:t>При наличии права на надбавку на уход по различным основаниям, предусмотренным в настоящей статье, надбавка начисляется по одному из указанных оснований.</w:t>
      </w:r>
    </w:p>
    <w:p w:rsidR="00CF7E1F" w:rsidRPr="005C63A5" w:rsidRDefault="00CF7E1F" w:rsidP="005C63A5">
      <w:pPr>
        <w:shd w:val="clear" w:color="auto" w:fill="FFFFFF"/>
        <w:spacing w:before="312" w:after="72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4B1" w:rsidRDefault="00C734B1" w:rsidP="0067480D">
      <w:pPr>
        <w:shd w:val="clear" w:color="auto" w:fill="FFFFFF"/>
        <w:spacing w:before="312"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34B1" w:rsidRDefault="00C734B1" w:rsidP="0067480D">
      <w:pPr>
        <w:shd w:val="clear" w:color="auto" w:fill="FFFFFF"/>
        <w:spacing w:before="312"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34B1" w:rsidRDefault="00C734B1" w:rsidP="0067480D">
      <w:pPr>
        <w:shd w:val="clear" w:color="auto" w:fill="FFFFFF"/>
        <w:spacing w:before="312"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34B1" w:rsidRDefault="00C734B1" w:rsidP="0067480D">
      <w:pPr>
        <w:shd w:val="clear" w:color="auto" w:fill="FFFFFF"/>
        <w:spacing w:before="312"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E1F" w:rsidRPr="00CF7E1F" w:rsidRDefault="00CF7E1F" w:rsidP="0067480D">
      <w:pPr>
        <w:shd w:val="clear" w:color="auto" w:fill="FFFFFF"/>
        <w:spacing w:before="312"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может рассчитывать на пенсию по возрасту?</w:t>
      </w:r>
    </w:p>
    <w:p w:rsidR="00CF7E1F" w:rsidRPr="00CF7E1F" w:rsidRDefault="00CF7E1F" w:rsidP="0067480D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люди:</w:t>
      </w:r>
    </w:p>
    <w:p w:rsidR="00CF7E1F" w:rsidRPr="00CF7E1F" w:rsidRDefault="00CF7E1F" w:rsidP="0067480D">
      <w:pPr>
        <w:numPr>
          <w:ilvl w:val="0"/>
          <w:numId w:val="1"/>
        </w:numPr>
        <w:shd w:val="clear" w:color="auto" w:fill="FFFFFF"/>
        <w:spacing w:before="100" w:beforeAutospacing="1" w:after="10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 рабочие периоды подлежали обязательному социальному страхованию и за них уплачивались взносы в </w:t>
      </w:r>
      <w:hyperlink r:id="rId7" w:history="1">
        <w:r w:rsidRPr="009F75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ФСЗН</w:t>
        </w:r>
      </w:hyperlink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E1F" w:rsidRPr="00CF7E1F" w:rsidRDefault="00CF7E1F" w:rsidP="0067480D">
      <w:pPr>
        <w:numPr>
          <w:ilvl w:val="0"/>
          <w:numId w:val="1"/>
        </w:numPr>
        <w:shd w:val="clear" w:color="auto" w:fill="FFFFFF"/>
        <w:spacing w:before="100" w:beforeAutospacing="1" w:after="10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достигли пенсионного возраста;</w:t>
      </w:r>
    </w:p>
    <w:p w:rsidR="00CF7E1F" w:rsidRPr="00CF7E1F" w:rsidRDefault="00CF7E1F" w:rsidP="0067480D">
      <w:pPr>
        <w:numPr>
          <w:ilvl w:val="0"/>
          <w:numId w:val="1"/>
        </w:numPr>
        <w:shd w:val="clear" w:color="auto" w:fill="FFFFFF"/>
        <w:spacing w:before="100" w:beforeAutospacing="1" w:after="10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общий трудовой стаж размером в 25 лет (для мужчин) и в 20 лет (для женщин).</w:t>
      </w:r>
    </w:p>
    <w:p w:rsidR="00CF7E1F" w:rsidRPr="00CF7E1F" w:rsidRDefault="00CF7E1F" w:rsidP="0067480D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работники с особыми условиями труда имеют право на досрочный выход на пенсию (статья 12 и 13).</w:t>
      </w:r>
    </w:p>
    <w:p w:rsidR="00CF7E1F" w:rsidRPr="00CF7E1F" w:rsidRDefault="00CF7E1F" w:rsidP="0067480D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по возрасту выплачивается человеку пожизненно. Она не зависит от состояния трудоспособности. Это, скорее, заслуженный отдых для людей, который гарантирует государство при соблюдении всех условий.</w:t>
      </w:r>
    </w:p>
    <w:p w:rsidR="00CF7E1F" w:rsidRPr="00CF7E1F" w:rsidRDefault="00CF7E1F" w:rsidP="0067480D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не соответствуют требованиям для получения трудовой пенсии по возрасту, могут рассчитывать на получение социальной пенсии. Их размеры зависят уже не от </w:t>
      </w:r>
      <w:hyperlink r:id="rId8" w:history="1">
        <w:r w:rsidRPr="009F75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средней зарплаты</w:t>
        </w:r>
      </w:hyperlink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 величины </w:t>
      </w:r>
      <w:hyperlink r:id="rId9" w:history="1">
        <w:r w:rsidRPr="009F75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бюджета прожиточного минимума</w:t>
        </w:r>
      </w:hyperlink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E1F" w:rsidRPr="00CF7E1F" w:rsidRDefault="00CF7E1F" w:rsidP="0067480D">
      <w:pPr>
        <w:shd w:val="clear" w:color="auto" w:fill="FFFFFF"/>
        <w:spacing w:before="312"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7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Возраст выхода на пенсию</w:t>
      </w:r>
    </w:p>
    <w:p w:rsidR="0067480D" w:rsidRPr="009F7519" w:rsidRDefault="00CF7E1F" w:rsidP="009F75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 году возраст выхода на пенсию для мужчин составлял 60 лет, для женщин – 55 лет. </w:t>
      </w:r>
    </w:p>
    <w:p w:rsidR="00CF7E1F" w:rsidRPr="00CF7E1F" w:rsidRDefault="00CF7E1F" w:rsidP="009F7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71E" w:rsidRPr="009F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Указу </w:t>
      </w:r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Республики Беларусь № 137 «О совершенствовании пенсионного обеспечения»</w:t>
      </w:r>
      <w:r w:rsidR="00C734B1" w:rsidRPr="009F7519">
        <w:rPr>
          <w:rFonts w:ascii="Times New Roman" w:hAnsi="Times New Roman" w:cs="Times New Roman"/>
          <w:sz w:val="24"/>
          <w:szCs w:val="24"/>
        </w:rPr>
        <w:t xml:space="preserve"> от 11 апреля 2016 г. N 137 </w:t>
      </w:r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2017 года началось постепенное повышение возраста для выхода на трудовую пенсию. Каждый год до 2022 возрастной лимит увеличивается на 6 месяцев:</w:t>
      </w:r>
    </w:p>
    <w:p w:rsidR="00CF7E1F" w:rsidRPr="00CF7E1F" w:rsidRDefault="00CF7E1F" w:rsidP="009F75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62 года и 57 лет;</w:t>
      </w:r>
    </w:p>
    <w:p w:rsidR="00CF7E1F" w:rsidRPr="00CF7E1F" w:rsidRDefault="00CF7E1F" w:rsidP="009F75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62 года и 6 месяцев, 57 лет и 6 месяцев;</w:t>
      </w:r>
    </w:p>
    <w:p w:rsidR="00CF7E1F" w:rsidRPr="00CF7E1F" w:rsidRDefault="00CF7E1F" w:rsidP="009F75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E1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63 года и 58 лет.</w:t>
      </w:r>
    </w:p>
    <w:p w:rsidR="00CF7E1F" w:rsidRPr="009F7519" w:rsidRDefault="00CF7E1F" w:rsidP="0067480D">
      <w:pPr>
        <w:pStyle w:val="3"/>
        <w:shd w:val="clear" w:color="auto" w:fill="FFFFFF"/>
        <w:spacing w:before="240" w:after="72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9F7519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Необходимые документы для пенсии в Беларуси в 2020 году</w:t>
      </w:r>
    </w:p>
    <w:p w:rsidR="0013571E" w:rsidRPr="009F7519" w:rsidRDefault="00CF7E1F" w:rsidP="0013571E">
      <w:pPr>
        <w:pStyle w:val="a3"/>
        <w:shd w:val="clear" w:color="auto" w:fill="FFFFFF"/>
        <w:spacing w:before="0" w:beforeAutospacing="0" w:after="168" w:afterAutospacing="0"/>
        <w:jc w:val="both"/>
      </w:pPr>
      <w:r w:rsidRPr="009F7519">
        <w:t xml:space="preserve">Расчет и начисление пенсии по возрасту происходит после подачи письменного заявления гражданина. Обращение нужно передать работодателю на последнем рабочем месте. </w:t>
      </w:r>
      <w:r w:rsidR="0013571E" w:rsidRPr="009F7519">
        <w:t>Если человек перед пенсией не работал, имел статус индивидуального предпринимателя или творческого работника, то нужно обращаться непосредственно в управление по труду, занятости и социальной защиты по месту жительства.</w:t>
      </w:r>
    </w:p>
    <w:p w:rsidR="00CF7E1F" w:rsidRPr="009F7519" w:rsidRDefault="00CF7E1F" w:rsidP="0067480D">
      <w:pPr>
        <w:pStyle w:val="a3"/>
        <w:shd w:val="clear" w:color="auto" w:fill="FFFFFF"/>
        <w:spacing w:before="0" w:beforeAutospacing="0" w:after="168" w:afterAutospacing="0"/>
        <w:jc w:val="both"/>
      </w:pPr>
      <w:r w:rsidRPr="009F7519">
        <w:t>Вместе с заявлением нужно подготовить:</w:t>
      </w:r>
    </w:p>
    <w:p w:rsidR="00CF7E1F" w:rsidRPr="009F7519" w:rsidRDefault="00CF7E1F" w:rsidP="0067480D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7519">
        <w:rPr>
          <w:rFonts w:ascii="Times New Roman" w:hAnsi="Times New Roman" w:cs="Times New Roman"/>
          <w:sz w:val="24"/>
          <w:szCs w:val="24"/>
        </w:rPr>
        <w:t>паспорт или вид на жительство;</w:t>
      </w:r>
    </w:p>
    <w:p w:rsidR="00CF7E1F" w:rsidRPr="009F7519" w:rsidRDefault="00CF7E1F" w:rsidP="0067480D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519">
        <w:rPr>
          <w:rFonts w:ascii="Times New Roman" w:hAnsi="Times New Roman" w:cs="Times New Roman"/>
          <w:sz w:val="24"/>
          <w:szCs w:val="24"/>
        </w:rPr>
        <w:t>документы, рассказывающие о размере заработка за последние 26 лет (актуально для тех, кто должен получить пенсию в 2020 году);</w:t>
      </w:r>
      <w:proofErr w:type="gramEnd"/>
    </w:p>
    <w:p w:rsidR="00CF7E1F" w:rsidRPr="009F7519" w:rsidRDefault="00CF7E1F" w:rsidP="0067480D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7519">
        <w:rPr>
          <w:rFonts w:ascii="Times New Roman" w:hAnsi="Times New Roman" w:cs="Times New Roman"/>
          <w:sz w:val="24"/>
          <w:szCs w:val="24"/>
        </w:rPr>
        <w:t>документы, рассказывающие о стаже (трудовая книжка, документы о получении образования, военный билет и т.д.);</w:t>
      </w:r>
    </w:p>
    <w:p w:rsidR="00CF7E1F" w:rsidRPr="009F7519" w:rsidRDefault="00CF7E1F" w:rsidP="0067480D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7519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страхования.</w:t>
      </w:r>
    </w:p>
    <w:p w:rsidR="00CF7E1F" w:rsidRPr="009F7519" w:rsidRDefault="00CF7E1F" w:rsidP="0013571E">
      <w:pPr>
        <w:pStyle w:val="4"/>
        <w:shd w:val="clear" w:color="auto" w:fill="FFFFFF"/>
        <w:spacing w:before="288" w:after="36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F7519">
        <w:rPr>
          <w:rFonts w:ascii="Times New Roman" w:hAnsi="Times New Roman" w:cs="Times New Roman"/>
          <w:bCs w:val="0"/>
          <w:color w:val="auto"/>
          <w:sz w:val="28"/>
          <w:szCs w:val="28"/>
        </w:rPr>
        <w:t>Размер минимальной пенсии по возрасту в 2020</w:t>
      </w:r>
    </w:p>
    <w:p w:rsidR="00CF7E1F" w:rsidRPr="009F7519" w:rsidRDefault="00CF7E1F" w:rsidP="0067480D">
      <w:pPr>
        <w:pStyle w:val="a3"/>
        <w:shd w:val="clear" w:color="auto" w:fill="FFFFFF"/>
        <w:spacing w:before="0" w:beforeAutospacing="0" w:after="168" w:afterAutospacing="0"/>
        <w:jc w:val="both"/>
      </w:pPr>
      <w:r w:rsidRPr="009F7519">
        <w:t>С 1 февраля 2020 года минимальная пенсия по возрасту выросла до 59,97 рублей. Положенная доплата – 185,15 рублей. Общая сумма –  245, 12 рублей.</w:t>
      </w:r>
    </w:p>
    <w:p w:rsidR="00CF7E1F" w:rsidRPr="009F7519" w:rsidRDefault="00CF7E1F" w:rsidP="0013571E">
      <w:pPr>
        <w:pStyle w:val="4"/>
        <w:shd w:val="clear" w:color="auto" w:fill="FFFFFF"/>
        <w:spacing w:before="288" w:after="36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F7519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На что влияет страховой стаж?</w:t>
      </w:r>
    </w:p>
    <w:p w:rsidR="00CF7E1F" w:rsidRPr="009F7519" w:rsidRDefault="00CF7E1F" w:rsidP="0067480D">
      <w:pPr>
        <w:pStyle w:val="a3"/>
        <w:shd w:val="clear" w:color="auto" w:fill="FFFFFF"/>
        <w:spacing w:before="0" w:beforeAutospacing="0" w:after="168" w:afterAutospacing="0"/>
        <w:jc w:val="both"/>
      </w:pPr>
      <w:r w:rsidRPr="009F7519">
        <w:t>Страховой стаж необходим для начисления пенсии за выслугу лет. Страховой стаж в 2020 году – 17,5 лет. К 2025 году он вырастет до 20 лет.</w:t>
      </w:r>
    </w:p>
    <w:p w:rsidR="00476006" w:rsidRPr="009F7519" w:rsidRDefault="00476006" w:rsidP="00674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76006" w:rsidRPr="009F7519" w:rsidSect="00C734B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A11"/>
    <w:multiLevelType w:val="multilevel"/>
    <w:tmpl w:val="A71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50BBF"/>
    <w:multiLevelType w:val="multilevel"/>
    <w:tmpl w:val="7D12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D12A7"/>
    <w:multiLevelType w:val="multilevel"/>
    <w:tmpl w:val="7970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26F8F"/>
    <w:multiLevelType w:val="multilevel"/>
    <w:tmpl w:val="2DF4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AA"/>
    <w:rsid w:val="0013571E"/>
    <w:rsid w:val="00476006"/>
    <w:rsid w:val="005C63A5"/>
    <w:rsid w:val="005D15BB"/>
    <w:rsid w:val="005F577E"/>
    <w:rsid w:val="0067480D"/>
    <w:rsid w:val="009A20B0"/>
    <w:rsid w:val="009F7519"/>
    <w:rsid w:val="00AC7AAA"/>
    <w:rsid w:val="00C734B1"/>
    <w:rsid w:val="00CF7E1F"/>
    <w:rsid w:val="00EA1717"/>
    <w:rsid w:val="00E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7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F7E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F7E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F7E1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7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F7E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F7E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F7E1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n.by/wiki/term/srednyaya-zarplata-v-belaru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fin.by/wiki/term/fond-socialnoj-zashhity-naseleniya-fsz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EE9C275AB68DE4B45504CE0C29A19E2344EF408B609456D6D4AFBD3C526F6CB5C53232FDEBEB8E55F0B00992P6G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fin.by/wiki/term/byudzhet-prozhitochnogo-minim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3</cp:revision>
  <dcterms:created xsi:type="dcterms:W3CDTF">2020-03-10T12:48:00Z</dcterms:created>
  <dcterms:modified xsi:type="dcterms:W3CDTF">2020-03-10T13:03:00Z</dcterms:modified>
</cp:coreProperties>
</file>