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E613" w14:textId="0271ABEB" w:rsidR="00460C89" w:rsidRPr="00460C89" w:rsidRDefault="00460C89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прослеживаемости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14:paraId="55773774" w14:textId="77777777" w:rsidR="00460C89" w:rsidRDefault="00460C89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14:paraId="599731BC" w14:textId="77777777" w:rsidR="00112764" w:rsidRDefault="006E534D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>сведения об обороте которых являются предметом прослеживаемости</w:t>
      </w:r>
      <w:r w:rsidR="005510FA">
        <w:rPr>
          <w:rFonts w:ascii="Times New Roman" w:hAnsi="Times New Roman" w:cs="Times New Roman"/>
          <w:sz w:val="30"/>
          <w:szCs w:val="30"/>
        </w:rPr>
        <w:t>.</w:t>
      </w:r>
    </w:p>
    <w:p w14:paraId="6107187D" w14:textId="77777777" w:rsidR="00997C54" w:rsidRDefault="006E534D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185BD5E9" w14:textId="3278D819" w:rsidR="00A06A32" w:rsidRDefault="00A06A32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>еречень товаров, сведения об обороте которых являются предметом прослеживаемости,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>2021 г. № 250</w:t>
      </w:r>
      <w:r w:rsidR="00997C54">
        <w:rPr>
          <w:rFonts w:ascii="Times New Roman" w:hAnsi="Times New Roman" w:cs="Times New Roman"/>
          <w:i/>
          <w:sz w:val="30"/>
          <w:szCs w:val="30"/>
        </w:rPr>
        <w:t>.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162A129B" w14:textId="77777777" w:rsidR="00A06A32" w:rsidRDefault="00A06A32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28 июля 2011 № 1030 (в редакции, вступающей в силу </w:t>
      </w:r>
      <w:r w:rsidRPr="00253BA0">
        <w:rPr>
          <w:rFonts w:ascii="Times New Roman" w:hAnsi="Times New Roman" w:cs="Times New Roman"/>
          <w:i/>
          <w:sz w:val="30"/>
          <w:szCs w:val="30"/>
          <w:u w:val="single"/>
        </w:rPr>
        <w:t>с 8 июля 2021 г.</w:t>
      </w:r>
      <w:r w:rsidRPr="00A46BCA">
        <w:rPr>
          <w:rFonts w:ascii="Times New Roman" w:hAnsi="Times New Roman" w:cs="Times New Roman"/>
          <w:i/>
          <w:sz w:val="30"/>
          <w:szCs w:val="30"/>
        </w:rPr>
        <w:t>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14:paraId="2F6935D5" w14:textId="77777777" w:rsidR="00253BA0" w:rsidRDefault="00253BA0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18784F" w14:textId="1EC2BA13" w:rsidR="00362CF1" w:rsidRDefault="00936A8C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14:paraId="30CC4ACA" w14:textId="77777777" w:rsidR="00FB1D53" w:rsidRDefault="00890328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F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 использования</w:t>
      </w:r>
      <w:r>
        <w:rPr>
          <w:rFonts w:ascii="Times New Roman" w:hAnsi="Times New Roman" w:cs="Times New Roman"/>
          <w:sz w:val="30"/>
          <w:szCs w:val="30"/>
        </w:rPr>
        <w:t xml:space="preserve">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14:paraId="285DE3ED" w14:textId="77777777" w:rsidR="00362CF1" w:rsidRDefault="00C06339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F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 использованием</w:t>
      </w:r>
      <w:r>
        <w:rPr>
          <w:rFonts w:ascii="Times New Roman" w:hAnsi="Times New Roman" w:cs="Times New Roman"/>
          <w:sz w:val="30"/>
          <w:szCs w:val="30"/>
        </w:rPr>
        <w:t xml:space="preserve"> полиграфически защищенных материальных носителей или знаков защиты.</w:t>
      </w:r>
    </w:p>
    <w:p w14:paraId="04D383EF" w14:textId="77777777" w:rsidR="00407F56" w:rsidRDefault="00C06339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0785DC62" w14:textId="3D30665B" w:rsidR="00C06339" w:rsidRDefault="00C06339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6B46DA" w:rsidRPr="00C95EDF">
        <w:rPr>
          <w:rFonts w:ascii="Times New Roman" w:hAnsi="Times New Roman" w:cs="Times New Roman"/>
          <w:b/>
          <w:bCs/>
          <w:i/>
          <w:sz w:val="30"/>
          <w:szCs w:val="30"/>
        </w:rPr>
        <w:t>всем участниками оборота такой продукции</w:t>
      </w:r>
      <w:r w:rsidR="00000DAC" w:rsidRPr="00C95ED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="00000DAC">
        <w:rPr>
          <w:rFonts w:ascii="Times New Roman" w:hAnsi="Times New Roman" w:cs="Times New Roman"/>
          <w:i/>
          <w:sz w:val="30"/>
          <w:szCs w:val="30"/>
        </w:rPr>
        <w:t>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B46DA" w:rsidRPr="00C95ED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обязательно использование </w:t>
      </w:r>
      <w:r w:rsidR="00F54464" w:rsidRPr="00C95EDF">
        <w:rPr>
          <w:rFonts w:ascii="Times New Roman" w:hAnsi="Times New Roman" w:cs="Times New Roman"/>
          <w:b/>
          <w:bCs/>
          <w:i/>
          <w:sz w:val="30"/>
          <w:szCs w:val="30"/>
        </w:rPr>
        <w:t>электронных накладных</w:t>
      </w:r>
      <w:r w:rsidR="00F54464">
        <w:rPr>
          <w:rFonts w:ascii="Times New Roman" w:hAnsi="Times New Roman" w:cs="Times New Roman"/>
          <w:i/>
          <w:sz w:val="30"/>
          <w:szCs w:val="30"/>
        </w:rPr>
        <w:t>.</w:t>
      </w:r>
    </w:p>
    <w:p w14:paraId="35644A6F" w14:textId="77777777" w:rsidR="00C90246" w:rsidRPr="007E6223" w:rsidRDefault="00394768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прослеживаемости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lastRenderedPageBreak/>
        <w:t>экономического союза, и (или) перечень товаров, сведения об обороте которых являются предметом прослеживаемости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субъекты хозяйствования </w:t>
      </w:r>
      <w:r w:rsidR="00C90246" w:rsidRPr="00C95EDF">
        <w:rPr>
          <w:rFonts w:ascii="Times New Roman" w:hAnsi="Times New Roman" w:cs="Times New Roman"/>
          <w:b/>
          <w:bCs/>
          <w:i/>
          <w:sz w:val="30"/>
          <w:szCs w:val="30"/>
        </w:rPr>
        <w:t>обязаны</w:t>
      </w:r>
      <w:r w:rsidR="007E6223" w:rsidRPr="00C95EDF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="00C90246" w:rsidRPr="00C95EDF">
        <w:rPr>
          <w:rFonts w:ascii="Times New Roman" w:hAnsi="Times New Roman" w:cs="Times New Roman"/>
          <w:b/>
          <w:bCs/>
          <w:i/>
          <w:sz w:val="30"/>
          <w:szCs w:val="30"/>
        </w:rPr>
        <w:t>использовать электронные накладные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14:paraId="6D965402" w14:textId="77777777" w:rsidR="002402DB" w:rsidRDefault="0082635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</w:p>
    <w:p w14:paraId="63884BF4" w14:textId="77F0D7DE" w:rsidR="0082635B" w:rsidRPr="00D86D0C" w:rsidRDefault="0082635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14:paraId="7ED6C25A" w14:textId="77777777" w:rsidR="00C90246" w:rsidRPr="007E6223" w:rsidRDefault="00C90246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0FEAFA6C" w14:textId="77777777" w:rsidR="00F54464" w:rsidRDefault="00F54464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000DAC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14:paraId="12DD3496" w14:textId="77777777" w:rsidR="002402DB" w:rsidRDefault="00F54464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4495C14C" w14:textId="1BDD4643" w:rsidR="00F54464" w:rsidRPr="00442AE8" w:rsidRDefault="00F54464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14:paraId="40256610" w14:textId="77777777" w:rsidR="00442AE8" w:rsidRPr="00442AE8" w:rsidRDefault="00442AE8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>нск, ул. Судмалиса,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14:paraId="69DE0667" w14:textId="77777777" w:rsidR="002402DB" w:rsidRDefault="00C87C0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75C94B67" w14:textId="1AF2A62F" w:rsidR="00F54464" w:rsidRPr="00C87C0A" w:rsidRDefault="00C87C0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14:paraId="465E9538" w14:textId="77777777" w:rsidR="00C87C0A" w:rsidRDefault="00C87C0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58F6747" w14:textId="77777777" w:rsidR="00C87C0A" w:rsidRPr="00211E05" w:rsidRDefault="00C87C0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14:paraId="5979D1C7" w14:textId="77777777" w:rsidR="00211E05" w:rsidRDefault="00211E05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14:paraId="7BB5919E" w14:textId="77777777" w:rsidR="00613792" w:rsidRDefault="00E55D57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3171A7F8" w14:textId="407C4D7D" w:rsidR="003E5331" w:rsidRPr="00E55D57" w:rsidRDefault="00E55D57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Информация и справочные документы по получению ЭЦП размещены по ссылке https://nces.by/pki/.</w:t>
      </w:r>
    </w:p>
    <w:p w14:paraId="7045A56A" w14:textId="77777777" w:rsidR="003E5331" w:rsidRDefault="003E5331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E7C8EC" w14:textId="77777777" w:rsidR="007A0ADB" w:rsidRDefault="007A0AD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B07FBEB" w14:textId="77777777" w:rsidR="00613792" w:rsidRDefault="007A0AD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6913D17C" w14:textId="45871A47" w:rsidR="007A0ADB" w:rsidRPr="007537B0" w:rsidRDefault="007A0AD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14:paraId="38587463" w14:textId="77777777" w:rsidR="007A0ADB" w:rsidRPr="00000DAC" w:rsidRDefault="007A0ADB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14:paraId="3475DAD9" w14:textId="77777777" w:rsidR="003A533A" w:rsidRDefault="003A533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8598B5A" w14:textId="77777777" w:rsidR="001A5F72" w:rsidRPr="0028476E" w:rsidRDefault="003A533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14:paraId="0E43D157" w14:textId="77777777" w:rsidR="003A533A" w:rsidRDefault="003A533A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4F8CE3EC" w14:textId="77777777" w:rsidR="0028476E" w:rsidRPr="007D02A5" w:rsidRDefault="007D02A5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прослеживаемости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B10A5E1" w14:textId="77777777" w:rsidR="0028476E" w:rsidRDefault="0028476E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14:paraId="78B89E13" w14:textId="77777777" w:rsidR="008A35FE" w:rsidRDefault="008A35FE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«О прослеживаемости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14:paraId="5D952A20" w14:textId="77777777" w:rsidR="00007A94" w:rsidRPr="00007A94" w:rsidRDefault="00007A94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14:paraId="3E7DE4C4" w14:textId="77777777" w:rsidR="0028476E" w:rsidRPr="007D02A5" w:rsidRDefault="006919D8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14:paraId="7EBE168E" w14:textId="7A0691B1" w:rsidR="0028476E" w:rsidRDefault="006919D8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p w14:paraId="69101BE6" w14:textId="24347046" w:rsidR="009C01D6" w:rsidRDefault="009C01D6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1D6">
        <w:rPr>
          <w:rFonts w:ascii="Times New Roman" w:hAnsi="Times New Roman" w:cs="Times New Roman"/>
          <w:sz w:val="30"/>
          <w:szCs w:val="30"/>
        </w:rPr>
        <w:t>Данный алгоритм действий размещен на сайте Министерства по налогам и сборам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34E26"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12" w:history="1">
        <w:r w:rsidRPr="00680427">
          <w:rPr>
            <w:rStyle w:val="a6"/>
            <w:rFonts w:ascii="Times New Roman" w:hAnsi="Times New Roman" w:cs="Times New Roman"/>
            <w:sz w:val="30"/>
            <w:szCs w:val="30"/>
          </w:rPr>
          <w:t>http://www.nalog.gov.by/ru/news_ministerstva_ru/view/r-ministerstvom-po-nalogam-i-sboram-podgotovleny-rekomendatsii-po-vnedreniju-elektronnyx-nakladnyx-39870/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14:paraId="5BC6EF9D" w14:textId="77777777" w:rsidR="009C01D6" w:rsidRPr="009C01D6" w:rsidRDefault="009C01D6" w:rsidP="009C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C01D6" w:rsidRPr="009C01D6" w:rsidSect="0096254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EAA9" w14:textId="77777777" w:rsidR="00956B3F" w:rsidRDefault="00956B3F" w:rsidP="0096254F">
      <w:pPr>
        <w:spacing w:after="0" w:line="240" w:lineRule="auto"/>
      </w:pPr>
      <w:r>
        <w:separator/>
      </w:r>
    </w:p>
  </w:endnote>
  <w:endnote w:type="continuationSeparator" w:id="0">
    <w:p w14:paraId="6CF56A57" w14:textId="77777777" w:rsidR="00956B3F" w:rsidRDefault="00956B3F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32BF" w14:textId="77777777" w:rsidR="00956B3F" w:rsidRDefault="00956B3F" w:rsidP="0096254F">
      <w:pPr>
        <w:spacing w:after="0" w:line="240" w:lineRule="auto"/>
      </w:pPr>
      <w:r>
        <w:separator/>
      </w:r>
    </w:p>
  </w:footnote>
  <w:footnote w:type="continuationSeparator" w:id="0">
    <w:p w14:paraId="32BE190A" w14:textId="77777777" w:rsidR="00956B3F" w:rsidRDefault="00956B3F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386"/>
      <w:docPartObj>
        <w:docPartGallery w:val="Page Numbers (Top of Page)"/>
        <w:docPartUnique/>
      </w:docPartObj>
    </w:sdtPr>
    <w:sdtEndPr/>
    <w:sdtContent>
      <w:p w14:paraId="4F14F8C1" w14:textId="2684FEB3" w:rsidR="0096254F" w:rsidRDefault="009625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3B">
          <w:rPr>
            <w:noProof/>
          </w:rPr>
          <w:t>3</w:t>
        </w:r>
        <w:r>
          <w:fldChar w:fldCharType="end"/>
        </w:r>
      </w:p>
    </w:sdtContent>
  </w:sdt>
  <w:p w14:paraId="7297D1A9" w14:textId="77777777"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402DB"/>
    <w:rsid w:val="00253BA0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407F56"/>
    <w:rsid w:val="00412CD9"/>
    <w:rsid w:val="00434E26"/>
    <w:rsid w:val="00442AE8"/>
    <w:rsid w:val="00460C89"/>
    <w:rsid w:val="00470291"/>
    <w:rsid w:val="00515127"/>
    <w:rsid w:val="005510FA"/>
    <w:rsid w:val="00613792"/>
    <w:rsid w:val="00617376"/>
    <w:rsid w:val="006919D8"/>
    <w:rsid w:val="006B46DA"/>
    <w:rsid w:val="006E534D"/>
    <w:rsid w:val="00703D1A"/>
    <w:rsid w:val="007537B0"/>
    <w:rsid w:val="0077649F"/>
    <w:rsid w:val="007A0ADB"/>
    <w:rsid w:val="007D02A5"/>
    <w:rsid w:val="007E6223"/>
    <w:rsid w:val="0082635B"/>
    <w:rsid w:val="00845BC6"/>
    <w:rsid w:val="00845E5B"/>
    <w:rsid w:val="00890328"/>
    <w:rsid w:val="008A35FE"/>
    <w:rsid w:val="0090287A"/>
    <w:rsid w:val="00904761"/>
    <w:rsid w:val="00921F52"/>
    <w:rsid w:val="00927D22"/>
    <w:rsid w:val="00936A8C"/>
    <w:rsid w:val="00956B3F"/>
    <w:rsid w:val="0096254F"/>
    <w:rsid w:val="00986D62"/>
    <w:rsid w:val="00997C54"/>
    <w:rsid w:val="009C01D6"/>
    <w:rsid w:val="009C0A6F"/>
    <w:rsid w:val="009E258C"/>
    <w:rsid w:val="00A06A32"/>
    <w:rsid w:val="00A40A42"/>
    <w:rsid w:val="00A451CC"/>
    <w:rsid w:val="00A46BCA"/>
    <w:rsid w:val="00A46FEF"/>
    <w:rsid w:val="00A97CD1"/>
    <w:rsid w:val="00AA66AA"/>
    <w:rsid w:val="00B113E1"/>
    <w:rsid w:val="00B25F93"/>
    <w:rsid w:val="00B405A7"/>
    <w:rsid w:val="00B43D69"/>
    <w:rsid w:val="00B51E58"/>
    <w:rsid w:val="00B94616"/>
    <w:rsid w:val="00C06339"/>
    <w:rsid w:val="00C87C0A"/>
    <w:rsid w:val="00C90246"/>
    <w:rsid w:val="00C95EDF"/>
    <w:rsid w:val="00CA7ED4"/>
    <w:rsid w:val="00D25D05"/>
    <w:rsid w:val="00DD2424"/>
    <w:rsid w:val="00E2311E"/>
    <w:rsid w:val="00E55D57"/>
    <w:rsid w:val="00EB443B"/>
    <w:rsid w:val="00F0149D"/>
    <w:rsid w:val="00F061E7"/>
    <w:rsid w:val="00F54464"/>
    <w:rsid w:val="00F60C9A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8A2A"/>
  <w15:chartTrackingRefBased/>
  <w15:docId w15:val="{369FD46B-C65F-4F1D-9B88-CA6BB6D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  <w:style w:type="character" w:customStyle="1" w:styleId="UnresolvedMention">
    <w:name w:val="Unresolved Mention"/>
    <w:basedOn w:val="a0"/>
    <w:uiPriority w:val="99"/>
    <w:semiHidden/>
    <w:unhideWhenUsed/>
    <w:rsid w:val="009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/ru/news_ministerstva_ru/view/r-ministerstvom-po-nalogam-i-sboram-podgotovleny-rekomendatsii-po-vnedreniju-elektronnyx-nakladnyx-398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Злодеева Светлана Сергеевна</dc:creator>
  <cp:keywords/>
  <dc:description/>
  <cp:lastModifiedBy>Шевчук Людмила Николаевна</cp:lastModifiedBy>
  <cp:revision>3</cp:revision>
  <cp:lastPrinted>2021-05-31T14:11:00Z</cp:lastPrinted>
  <dcterms:created xsi:type="dcterms:W3CDTF">2021-11-03T11:41:00Z</dcterms:created>
  <dcterms:modified xsi:type="dcterms:W3CDTF">2021-11-03T11:43:00Z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