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B8A23" w14:textId="77777777" w:rsidR="001627B7" w:rsidRDefault="001627B7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</w:p>
    <w:p w14:paraId="775C8682" w14:textId="347C9FCF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bookmarkStart w:id="1" w:name="_GoBack"/>
      <w:bookmarkEnd w:id="1"/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lastRenderedPageBreak/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 xml:space="preserve">российского </w:t>
      </w:r>
      <w:proofErr w:type="gramStart"/>
      <w:r w:rsidRPr="00BD3CC5">
        <w:t>образца</w:t>
      </w:r>
      <w:r w:rsidRPr="00766F3D">
        <w:t xml:space="preserve"> </w:t>
      </w:r>
      <w:r>
        <w:t xml:space="preserve"> -</w:t>
      </w:r>
      <w:proofErr w:type="gramEnd"/>
      <w:r>
        <w:t xml:space="preserve">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 xml:space="preserve">систему </w:t>
      </w:r>
      <w:r w:rsidRPr="0060741A">
        <w:rPr>
          <w:rFonts w:ascii="Times New Roman" w:hAnsi="Times New Roman"/>
          <w:bCs/>
          <w:sz w:val="30"/>
          <w:szCs w:val="30"/>
        </w:rPr>
        <w:lastRenderedPageBreak/>
        <w:t>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</w:t>
      </w:r>
      <w:proofErr w:type="gramStart"/>
      <w:r w:rsidRPr="00E80B08">
        <w:rPr>
          <w:rFonts w:ascii="Times New Roman" w:hAnsi="Times New Roman"/>
          <w:i/>
          <w:iCs/>
          <w:sz w:val="30"/>
          <w:szCs w:val="30"/>
        </w:rPr>
        <w:t>товары»(</w:t>
      </w:r>
      <w:proofErr w:type="gramEnd"/>
      <w:r w:rsidRPr="00E80B08">
        <w:rPr>
          <w:rFonts w:ascii="Times New Roman" w:hAnsi="Times New Roman"/>
          <w:i/>
          <w:iCs/>
          <w:sz w:val="30"/>
          <w:szCs w:val="30"/>
        </w:rPr>
        <w:t>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субъектом хозяйствования 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 xml:space="preserve">Присвоение </w:t>
      </w:r>
      <w:proofErr w:type="spellStart"/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штрихкодов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  <w:proofErr w:type="gramEnd"/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proofErr w:type="gramStart"/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  <w:proofErr w:type="gramEnd"/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 xml:space="preserve">Присвоение </w:t>
      </w:r>
      <w:proofErr w:type="spellStart"/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штрихкодов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 xml:space="preserve">, сведения о примененном при маркировке способе защиты средства идентификации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16067DD0" w14:textId="77777777" w:rsidR="001627B7" w:rsidRDefault="001627B7" w:rsidP="001627B7">
      <w:pPr>
        <w:spacing w:after="0" w:line="300" w:lineRule="atLeast"/>
        <w:ind w:firstLine="720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Данный пошаговый алгоритм</w:t>
      </w:r>
      <w:r w:rsidRPr="003F392C">
        <w:rPr>
          <w:rFonts w:ascii="Times New Roman" w:eastAsia="Times New Roman" w:hAnsi="Times New Roman"/>
          <w:sz w:val="30"/>
          <w:szCs w:val="30"/>
        </w:rPr>
        <w:t xml:space="preserve"> размещен на сайте МНС </w:t>
      </w:r>
      <w:hyperlink r:id="rId13" w:history="1">
        <w:r w:rsidRPr="0080572D">
          <w:rPr>
            <w:rStyle w:val="a8"/>
            <w:rFonts w:ascii="Times New Roman" w:eastAsia="Times New Roman" w:hAnsi="Times New Roman"/>
            <w:sz w:val="30"/>
            <w:szCs w:val="30"/>
          </w:rPr>
          <w:t>www.nalog.gov.by</w:t>
        </w:r>
      </w:hyperlink>
      <w:r>
        <w:rPr>
          <w:rFonts w:ascii="Times New Roman" w:eastAsia="Times New Roman" w:hAnsi="Times New Roman"/>
          <w:sz w:val="30"/>
          <w:szCs w:val="30"/>
        </w:rPr>
        <w:t>.</w:t>
      </w:r>
    </w:p>
    <w:p w14:paraId="12154E56" w14:textId="77777777" w:rsidR="001627B7" w:rsidRPr="00471535" w:rsidRDefault="001627B7" w:rsidP="001627B7">
      <w:pPr>
        <w:spacing w:after="0" w:line="300" w:lineRule="atLeast"/>
        <w:ind w:firstLine="720"/>
        <w:jc w:val="right"/>
        <w:rPr>
          <w:rFonts w:ascii="Times New Roman" w:hAnsi="Times New Roman"/>
          <w:i/>
          <w:iCs/>
          <w:sz w:val="30"/>
          <w:szCs w:val="30"/>
        </w:rPr>
      </w:pPr>
      <w:r w:rsidRPr="00471535">
        <w:rPr>
          <w:rFonts w:ascii="Times New Roman" w:eastAsia="Times New Roman" w:hAnsi="Times New Roman"/>
          <w:i/>
          <w:iCs/>
          <w:sz w:val="30"/>
          <w:szCs w:val="30"/>
        </w:rPr>
        <w:t xml:space="preserve">Инспекция МНС по </w:t>
      </w:r>
      <w:proofErr w:type="spellStart"/>
      <w:r w:rsidRPr="00471535">
        <w:rPr>
          <w:rFonts w:ascii="Times New Roman" w:eastAsia="Times New Roman" w:hAnsi="Times New Roman"/>
          <w:i/>
          <w:iCs/>
          <w:sz w:val="30"/>
          <w:szCs w:val="30"/>
        </w:rPr>
        <w:t>г.Бобруйску</w:t>
      </w:r>
      <w:proofErr w:type="spellEnd"/>
    </w:p>
    <w:p w14:paraId="566AEE71" w14:textId="77777777" w:rsidR="001627B7" w:rsidRDefault="001627B7" w:rsidP="00162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32A2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16E53FB7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53BD0" w14:textId="77777777" w:rsidR="00257B32" w:rsidRDefault="00257B32">
      <w:pPr>
        <w:spacing w:after="0" w:line="240" w:lineRule="auto"/>
      </w:pPr>
      <w:r>
        <w:separator/>
      </w:r>
    </w:p>
  </w:endnote>
  <w:endnote w:type="continuationSeparator" w:id="0">
    <w:p w14:paraId="32F6F629" w14:textId="77777777" w:rsidR="00257B32" w:rsidRDefault="0025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56775" w14:textId="77777777" w:rsidR="00257B32" w:rsidRDefault="00257B32">
      <w:pPr>
        <w:spacing w:after="0" w:line="240" w:lineRule="auto"/>
      </w:pPr>
      <w:r>
        <w:separator/>
      </w:r>
    </w:p>
  </w:footnote>
  <w:footnote w:type="continuationSeparator" w:id="0">
    <w:p w14:paraId="5089A50F" w14:textId="77777777" w:rsidR="00257B32" w:rsidRDefault="0025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BB209" w14:textId="0032D79F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31E1">
      <w:rPr>
        <w:noProof/>
      </w:rPr>
      <w:t>9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27B7"/>
    <w:rsid w:val="00166078"/>
    <w:rsid w:val="00190E9A"/>
    <w:rsid w:val="00195E7E"/>
    <w:rsid w:val="001A35AE"/>
    <w:rsid w:val="001A3CFE"/>
    <w:rsid w:val="001F5D67"/>
    <w:rsid w:val="002470AF"/>
    <w:rsid w:val="00257B32"/>
    <w:rsid w:val="0028589B"/>
    <w:rsid w:val="0029241A"/>
    <w:rsid w:val="002A3565"/>
    <w:rsid w:val="002B31E1"/>
    <w:rsid w:val="002E47F9"/>
    <w:rsid w:val="002F0A1F"/>
    <w:rsid w:val="00303514"/>
    <w:rsid w:val="00312193"/>
    <w:rsid w:val="00337D1A"/>
    <w:rsid w:val="00364513"/>
    <w:rsid w:val="003663EC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E1608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A0BB6"/>
    <w:rsid w:val="006D244B"/>
    <w:rsid w:val="006D6A8C"/>
    <w:rsid w:val="0070270E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2A27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74AEA"/>
    <w:rsid w:val="00E80B08"/>
    <w:rsid w:val="00E843BD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  <w15:docId w15:val="{DB6BEDF2-D5FC-435C-B4DA-F3FA60A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yperlink" Target="http://www.nalog.gov.by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vt:lpstr>
    </vt:vector>
  </TitlesOfParts>
  <Company/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Шевчук Людмила Николаевна</cp:lastModifiedBy>
  <cp:revision>3</cp:revision>
  <cp:lastPrinted>2021-10-12T10:39:00Z</cp:lastPrinted>
  <dcterms:created xsi:type="dcterms:W3CDTF">2021-11-03T11:40:00Z</dcterms:created>
  <dcterms:modified xsi:type="dcterms:W3CDTF">2021-11-03T11:43:00Z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